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7E4" w:rsidRDefault="002F676E" w:rsidP="006757E4">
      <w:pPr>
        <w:rPr>
          <w:b/>
          <w:sz w:val="32"/>
          <w:szCs w:val="32"/>
        </w:rPr>
      </w:pPr>
      <w:r>
        <w:rPr>
          <w:b/>
          <w:sz w:val="32"/>
          <w:szCs w:val="32"/>
        </w:rPr>
        <w:t>Risk Management</w:t>
      </w:r>
      <w:r w:rsidR="00F754BE">
        <w:rPr>
          <w:b/>
          <w:sz w:val="32"/>
          <w:szCs w:val="32"/>
        </w:rPr>
        <w:t>- Financial Health</w:t>
      </w:r>
    </w:p>
    <w:p w:rsidR="00424DCC" w:rsidRDefault="00424DCC" w:rsidP="00424DCC">
      <w:pPr>
        <w:pBdr>
          <w:bottom w:val="single" w:sz="12" w:space="1" w:color="auto"/>
        </w:pBdr>
        <w:rPr>
          <w:b/>
        </w:rPr>
      </w:pPr>
      <w:r>
        <w:rPr>
          <w:b/>
        </w:rPr>
        <w:t>Financial Health</w:t>
      </w:r>
    </w:p>
    <w:p w:rsidR="00424DCC" w:rsidRDefault="00424DCC" w:rsidP="00424DCC">
      <w:r>
        <w:t>Even if the treasurer is not one of the board members, there are some important issues regarding financial management which the whole board should understand. Everyone should be involved in the different stages of establishing and monitoring the financial health of the station.</w:t>
      </w:r>
    </w:p>
    <w:p w:rsidR="00424DCC" w:rsidRDefault="00424DCC" w:rsidP="00424DCC">
      <w:r>
        <w:t>Most importantly, if the station is insolvent and cannot pay its bills, it is illegal for the board to carry on business.</w:t>
      </w:r>
    </w:p>
    <w:p w:rsidR="00424DCC" w:rsidRPr="00CA22E4" w:rsidRDefault="00424DCC" w:rsidP="00424DCC">
      <w:r>
        <w:t xml:space="preserve">While you may have the most trust-worthy book-keeper in the world, all board members must be responsible and know the financial state of the station. This is known as transparency. So an updated financial report should be reviewed every month while being compared to a financial management </w:t>
      </w:r>
      <w:r w:rsidRPr="00C83365">
        <w:t>template which tracks expenditure against the projected budget figures.</w:t>
      </w:r>
    </w:p>
    <w:p w:rsidR="00A94F13" w:rsidRDefault="00424DCC" w:rsidP="00424DCC">
      <w:r w:rsidRPr="00C83365">
        <w:t xml:space="preserve">The board </w:t>
      </w:r>
      <w:r>
        <w:t>should also receive a balance sheet showing the station’s worth at any given point in time (e.g. 30 June) which lists all assets and liabilities. This will give a snapshot of the station’s finances.</w:t>
      </w:r>
    </w:p>
    <w:p w:rsidR="00A94F13" w:rsidRDefault="00A94F13">
      <w:r>
        <w:br w:type="page"/>
      </w:r>
    </w:p>
    <w:p w:rsidR="00A94F13" w:rsidRDefault="00A94F13" w:rsidP="00A94F13">
      <w:pPr>
        <w:pBdr>
          <w:bottom w:val="single" w:sz="12" w:space="1" w:color="auto"/>
        </w:pBdr>
        <w:ind w:hanging="142"/>
        <w:rPr>
          <w:rFonts w:cs="Arial"/>
          <w:b/>
          <w:bCs/>
          <w:color w:val="000000"/>
        </w:rPr>
      </w:pPr>
      <w:r w:rsidRPr="00F419C7">
        <w:rPr>
          <w:rFonts w:cs="Arial"/>
          <w:b/>
          <w:bCs/>
          <w:color w:val="000000"/>
        </w:rPr>
        <w:lastRenderedPageBreak/>
        <w:t xml:space="preserve">Profit and Loss or Income and Expenditure Statement </w:t>
      </w:r>
    </w:p>
    <w:p w:rsidR="00A94F13" w:rsidRDefault="00A94F13" w:rsidP="00A94F13">
      <w:pPr>
        <w:autoSpaceDE w:val="0"/>
        <w:autoSpaceDN w:val="0"/>
        <w:adjustRightInd w:val="0"/>
        <w:spacing w:after="0" w:line="240" w:lineRule="auto"/>
        <w:rPr>
          <w:rFonts w:cs="Arial"/>
          <w:color w:val="000000"/>
        </w:rPr>
      </w:pPr>
      <w:r w:rsidRPr="00F419C7">
        <w:rPr>
          <w:rFonts w:cs="Arial"/>
          <w:color w:val="000000"/>
        </w:rPr>
        <w:t xml:space="preserve">The income and expenditure statement is sometimes called a profit and loss (P&amp;L) statement. Basically, it is a summary of the station’s income and expenses as invoiced over a specific period of time. It is usually prepared at regular intervals throughout the year but this example is for year-end. </w:t>
      </w:r>
    </w:p>
    <w:p w:rsidR="00A94F13" w:rsidRDefault="00A94F13" w:rsidP="00A94F13">
      <w:pPr>
        <w:autoSpaceDE w:val="0"/>
        <w:autoSpaceDN w:val="0"/>
        <w:adjustRightInd w:val="0"/>
        <w:spacing w:after="0" w:line="240" w:lineRule="auto"/>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3"/>
        <w:gridCol w:w="1361"/>
        <w:gridCol w:w="1362"/>
        <w:gridCol w:w="2723"/>
        <w:gridCol w:w="360"/>
        <w:gridCol w:w="360"/>
      </w:tblGrid>
      <w:tr w:rsidR="00A94F13" w:rsidRPr="00F419C7" w:rsidTr="003C19D2">
        <w:trPr>
          <w:gridAfter w:val="1"/>
          <w:wAfter w:w="360" w:type="dxa"/>
          <w:trHeight w:val="201"/>
        </w:trPr>
        <w:tc>
          <w:tcPr>
            <w:tcW w:w="8169" w:type="dxa"/>
            <w:gridSpan w:val="4"/>
            <w:shd w:val="clear" w:color="auto" w:fill="D9E2F3" w:themeFill="accent1" w:themeFillTint="33"/>
          </w:tcPr>
          <w:p w:rsidR="00A94F13" w:rsidRPr="00F419C7" w:rsidRDefault="00A94F13" w:rsidP="003C19D2">
            <w:pPr>
              <w:autoSpaceDE w:val="0"/>
              <w:autoSpaceDN w:val="0"/>
              <w:adjustRightInd w:val="0"/>
              <w:spacing w:after="0" w:line="240" w:lineRule="auto"/>
              <w:rPr>
                <w:rFonts w:cs="Arial"/>
                <w:color w:val="000000"/>
              </w:rPr>
            </w:pPr>
            <w:r w:rsidRPr="00F419C7">
              <w:rPr>
                <w:rFonts w:cs="Calibri"/>
                <w:bCs/>
                <w:color w:val="000000"/>
              </w:rPr>
              <w:t xml:space="preserve">Annual Profit and Loss Statement </w:t>
            </w:r>
          </w:p>
        </w:tc>
        <w:tc>
          <w:tcPr>
            <w:tcW w:w="360" w:type="dxa"/>
          </w:tcPr>
          <w:p w:rsidR="00A94F13" w:rsidRPr="00F419C7" w:rsidRDefault="00A94F13" w:rsidP="003C19D2">
            <w:r w:rsidRPr="00F419C7">
              <w:t xml:space="preserve"> </w:t>
            </w:r>
          </w:p>
        </w:tc>
      </w:tr>
      <w:tr w:rsidR="00A94F13" w:rsidRPr="00F419C7" w:rsidTr="003C19D2">
        <w:trPr>
          <w:gridAfter w:val="1"/>
          <w:wAfter w:w="360" w:type="dxa"/>
          <w:trHeight w:val="138"/>
        </w:trPr>
        <w:tc>
          <w:tcPr>
            <w:tcW w:w="8169" w:type="dxa"/>
            <w:gridSpan w:val="4"/>
            <w:shd w:val="clear" w:color="auto" w:fill="B4C6E7" w:themeFill="accent1" w:themeFillTint="66"/>
          </w:tcPr>
          <w:p w:rsidR="00A94F13" w:rsidRPr="00F419C7" w:rsidRDefault="00A94F13" w:rsidP="003C19D2">
            <w:pPr>
              <w:autoSpaceDE w:val="0"/>
              <w:autoSpaceDN w:val="0"/>
              <w:adjustRightInd w:val="0"/>
              <w:spacing w:after="0" w:line="240" w:lineRule="auto"/>
              <w:rPr>
                <w:rFonts w:cs="Calibri"/>
                <w:color w:val="000000"/>
              </w:rPr>
            </w:pPr>
            <w:r w:rsidRPr="00F419C7">
              <w:rPr>
                <w:rFonts w:cs="Arial"/>
              </w:rPr>
              <w:t xml:space="preserve"> </w:t>
            </w:r>
            <w:r w:rsidRPr="00F419C7">
              <w:rPr>
                <w:rFonts w:cs="Calibri"/>
                <w:bCs/>
                <w:color w:val="000000"/>
              </w:rPr>
              <w:t xml:space="preserve">INCOME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4084"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Arial"/>
              </w:rPr>
              <w:t xml:space="preserve"> </w:t>
            </w:r>
            <w:r w:rsidRPr="00F419C7">
              <w:rPr>
                <w:rFonts w:cs="Calibri"/>
                <w:bCs/>
                <w:color w:val="000000"/>
              </w:rPr>
              <w:t xml:space="preserve">2016 </w:t>
            </w:r>
          </w:p>
        </w:tc>
        <w:tc>
          <w:tcPr>
            <w:tcW w:w="4085"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2015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tcPr>
          <w:p w:rsidR="00A94F13" w:rsidRPr="00F419C7" w:rsidRDefault="00A94F13" w:rsidP="003C19D2">
            <w:pPr>
              <w:autoSpaceDE w:val="0"/>
              <w:autoSpaceDN w:val="0"/>
              <w:adjustRightInd w:val="0"/>
              <w:spacing w:after="0" w:line="240" w:lineRule="auto"/>
              <w:rPr>
                <w:rFonts w:cs="Arial"/>
                <w:color w:val="000000"/>
              </w:rPr>
            </w:pPr>
            <w:r w:rsidRPr="00F419C7">
              <w:rPr>
                <w:rFonts w:cs="Arial"/>
              </w:rPr>
              <w:t xml:space="preserve"> </w:t>
            </w:r>
            <w:r w:rsidRPr="00F419C7">
              <w:rPr>
                <w:rFonts w:cs="Calibri"/>
                <w:bCs/>
                <w:color w:val="000000"/>
              </w:rPr>
              <w:t xml:space="preserve">Membership Fees </w:t>
            </w:r>
          </w:p>
        </w:tc>
        <w:tc>
          <w:tcPr>
            <w:tcW w:w="2723"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Arial"/>
                <w:color w:val="000000"/>
              </w:rPr>
              <w:t xml:space="preserve"> </w:t>
            </w:r>
            <w:r w:rsidRPr="00F419C7">
              <w:rPr>
                <w:rFonts w:cs="Calibri"/>
                <w:bCs/>
                <w:color w:val="000000"/>
              </w:rPr>
              <w:t xml:space="preserve">4,300 </w:t>
            </w:r>
          </w:p>
        </w:tc>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3,900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tcPr>
          <w:p w:rsidR="00A94F13" w:rsidRPr="00F419C7" w:rsidRDefault="00A94F13" w:rsidP="003C19D2">
            <w:pPr>
              <w:autoSpaceDE w:val="0"/>
              <w:autoSpaceDN w:val="0"/>
              <w:adjustRightInd w:val="0"/>
              <w:spacing w:after="0" w:line="240" w:lineRule="auto"/>
              <w:rPr>
                <w:rFonts w:cs="Arial"/>
                <w:color w:val="000000"/>
              </w:rPr>
            </w:pPr>
            <w:r w:rsidRPr="00F419C7">
              <w:rPr>
                <w:rFonts w:cs="Arial"/>
              </w:rPr>
              <w:t xml:space="preserve"> </w:t>
            </w:r>
            <w:r w:rsidRPr="00F419C7">
              <w:rPr>
                <w:rFonts w:cs="Calibri"/>
                <w:bCs/>
                <w:color w:val="000000"/>
              </w:rPr>
              <w:t xml:space="preserve">Broadcasting Fees </w:t>
            </w:r>
          </w:p>
        </w:tc>
        <w:tc>
          <w:tcPr>
            <w:tcW w:w="2723"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Arial"/>
                <w:color w:val="000000"/>
              </w:rPr>
              <w:t xml:space="preserve"> </w:t>
            </w:r>
            <w:r w:rsidRPr="00F419C7">
              <w:rPr>
                <w:rFonts w:cs="Calibri"/>
                <w:bCs/>
                <w:color w:val="000000"/>
              </w:rPr>
              <w:t xml:space="preserve">1,109 </w:t>
            </w:r>
          </w:p>
        </w:tc>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3,894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Arial"/>
              </w:rPr>
              <w:t xml:space="preserve"> </w:t>
            </w:r>
            <w:r w:rsidRPr="00F419C7">
              <w:rPr>
                <w:rFonts w:cs="Calibri"/>
                <w:bCs/>
                <w:color w:val="000000"/>
              </w:rPr>
              <w:t xml:space="preserve">Sponsorship </w:t>
            </w:r>
          </w:p>
        </w:tc>
        <w:tc>
          <w:tcPr>
            <w:tcW w:w="2723"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35,135 </w:t>
            </w:r>
          </w:p>
        </w:tc>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17,400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tcPr>
          <w:p w:rsidR="00A94F13" w:rsidRPr="00F419C7" w:rsidRDefault="00A94F13" w:rsidP="003C19D2">
            <w:pPr>
              <w:autoSpaceDE w:val="0"/>
              <w:autoSpaceDN w:val="0"/>
              <w:adjustRightInd w:val="0"/>
              <w:spacing w:after="0" w:line="240" w:lineRule="auto"/>
              <w:rPr>
                <w:rFonts w:cs="Arial"/>
                <w:color w:val="000000"/>
              </w:rPr>
            </w:pPr>
            <w:r w:rsidRPr="00F419C7">
              <w:rPr>
                <w:rFonts w:cs="Arial"/>
              </w:rPr>
              <w:t xml:space="preserve"> </w:t>
            </w:r>
            <w:r w:rsidRPr="00F419C7">
              <w:rPr>
                <w:rFonts w:cs="Calibri"/>
                <w:bCs/>
                <w:color w:val="000000"/>
              </w:rPr>
              <w:t xml:space="preserve">CBF Ethnic Grant </w:t>
            </w:r>
          </w:p>
        </w:tc>
        <w:tc>
          <w:tcPr>
            <w:tcW w:w="2723"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Arial"/>
                <w:color w:val="000000"/>
              </w:rPr>
              <w:t xml:space="preserve"> </w:t>
            </w:r>
            <w:r w:rsidRPr="00F419C7">
              <w:rPr>
                <w:rFonts w:cs="Calibri"/>
                <w:bCs/>
                <w:color w:val="000000"/>
              </w:rPr>
              <w:t xml:space="preserve">45,856 </w:t>
            </w:r>
          </w:p>
        </w:tc>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42,331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4084" w:type="dxa"/>
            <w:gridSpan w:val="2"/>
          </w:tcPr>
          <w:p w:rsidR="00A94F13" w:rsidRPr="00F419C7" w:rsidRDefault="00A94F13" w:rsidP="003C19D2">
            <w:pPr>
              <w:autoSpaceDE w:val="0"/>
              <w:autoSpaceDN w:val="0"/>
              <w:adjustRightInd w:val="0"/>
              <w:spacing w:after="0" w:line="240" w:lineRule="auto"/>
              <w:rPr>
                <w:rFonts w:cs="Arial"/>
                <w:color w:val="000000"/>
              </w:rPr>
            </w:pPr>
            <w:r w:rsidRPr="00F419C7">
              <w:rPr>
                <w:rFonts w:cs="Arial"/>
              </w:rPr>
              <w:t xml:space="preserve"> </w:t>
            </w:r>
            <w:r w:rsidRPr="00F419C7">
              <w:rPr>
                <w:rFonts w:cs="Calibri"/>
                <w:bCs/>
                <w:color w:val="000000"/>
              </w:rPr>
              <w:t xml:space="preserve">CBF Indigenous grant </w:t>
            </w:r>
          </w:p>
        </w:tc>
        <w:tc>
          <w:tcPr>
            <w:tcW w:w="4085"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Arial"/>
                <w:color w:val="000000"/>
              </w:rPr>
              <w:t xml:space="preserve"> </w:t>
            </w:r>
            <w:r w:rsidRPr="00F419C7">
              <w:rPr>
                <w:rFonts w:cs="Calibri"/>
                <w:bCs/>
                <w:color w:val="000000"/>
              </w:rPr>
              <w:t xml:space="preserve">1,105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tcPr>
          <w:p w:rsidR="00A94F13" w:rsidRPr="00F419C7" w:rsidRDefault="00A94F13" w:rsidP="003C19D2">
            <w:pPr>
              <w:autoSpaceDE w:val="0"/>
              <w:autoSpaceDN w:val="0"/>
              <w:adjustRightInd w:val="0"/>
              <w:spacing w:after="0" w:line="240" w:lineRule="auto"/>
              <w:rPr>
                <w:rFonts w:cs="Arial"/>
                <w:color w:val="000000"/>
              </w:rPr>
            </w:pPr>
            <w:r w:rsidRPr="00F419C7">
              <w:rPr>
                <w:rFonts w:cs="Arial"/>
              </w:rPr>
              <w:t xml:space="preserve"> </w:t>
            </w:r>
            <w:r w:rsidRPr="00F419C7">
              <w:rPr>
                <w:rFonts w:cs="Calibri"/>
                <w:bCs/>
                <w:color w:val="000000"/>
              </w:rPr>
              <w:t xml:space="preserve">CBF Development Grant </w:t>
            </w:r>
          </w:p>
        </w:tc>
        <w:tc>
          <w:tcPr>
            <w:tcW w:w="2723"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Arial"/>
                <w:color w:val="000000"/>
              </w:rPr>
              <w:t xml:space="preserve"> </w:t>
            </w:r>
            <w:r w:rsidRPr="00F419C7">
              <w:rPr>
                <w:rFonts w:cs="Calibri"/>
                <w:bCs/>
                <w:color w:val="000000"/>
              </w:rPr>
              <w:t xml:space="preserve">1,000 </w:t>
            </w:r>
          </w:p>
        </w:tc>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3,000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tcPr>
          <w:p w:rsidR="00A94F13" w:rsidRPr="00F419C7" w:rsidRDefault="00A94F13" w:rsidP="003C19D2">
            <w:pPr>
              <w:autoSpaceDE w:val="0"/>
              <w:autoSpaceDN w:val="0"/>
              <w:adjustRightInd w:val="0"/>
              <w:spacing w:after="0" w:line="240" w:lineRule="auto"/>
              <w:rPr>
                <w:rFonts w:cs="Arial"/>
                <w:color w:val="000000"/>
              </w:rPr>
            </w:pPr>
            <w:r w:rsidRPr="00F419C7">
              <w:rPr>
                <w:rFonts w:cs="Arial"/>
              </w:rPr>
              <w:t xml:space="preserve"> </w:t>
            </w:r>
            <w:r w:rsidRPr="00F419C7">
              <w:rPr>
                <w:rFonts w:cs="Calibri"/>
                <w:bCs/>
                <w:color w:val="000000"/>
              </w:rPr>
              <w:t xml:space="preserve">CBF Training Grant </w:t>
            </w:r>
          </w:p>
        </w:tc>
        <w:tc>
          <w:tcPr>
            <w:tcW w:w="2723"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Arial"/>
                <w:color w:val="000000"/>
              </w:rPr>
              <w:t xml:space="preserve"> </w:t>
            </w:r>
            <w:r w:rsidRPr="00F419C7">
              <w:rPr>
                <w:rFonts w:cs="Calibri"/>
                <w:bCs/>
                <w:color w:val="000000"/>
              </w:rPr>
              <w:t xml:space="preserve">6,000 </w:t>
            </w:r>
          </w:p>
        </w:tc>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1,500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Arial"/>
              </w:rPr>
              <w:t xml:space="preserve"> </w:t>
            </w:r>
            <w:r w:rsidRPr="00F419C7">
              <w:rPr>
                <w:rFonts w:cs="Calibri"/>
                <w:bCs/>
                <w:color w:val="000000"/>
              </w:rPr>
              <w:t xml:space="preserve">Donations </w:t>
            </w:r>
          </w:p>
        </w:tc>
        <w:tc>
          <w:tcPr>
            <w:tcW w:w="2723"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32,550 </w:t>
            </w:r>
          </w:p>
        </w:tc>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24,000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tcPr>
          <w:p w:rsidR="00A94F13" w:rsidRPr="00F419C7" w:rsidRDefault="00A94F13" w:rsidP="003C19D2">
            <w:pPr>
              <w:autoSpaceDE w:val="0"/>
              <w:autoSpaceDN w:val="0"/>
              <w:adjustRightInd w:val="0"/>
              <w:spacing w:after="0" w:line="240" w:lineRule="auto"/>
              <w:rPr>
                <w:rFonts w:cs="Arial"/>
                <w:color w:val="000000"/>
              </w:rPr>
            </w:pPr>
            <w:r w:rsidRPr="00F419C7">
              <w:rPr>
                <w:rFonts w:cs="Arial"/>
              </w:rPr>
              <w:t xml:space="preserve"> </w:t>
            </w:r>
            <w:r w:rsidRPr="00F419C7">
              <w:rPr>
                <w:rFonts w:cs="Calibri"/>
                <w:bCs/>
                <w:color w:val="000000"/>
              </w:rPr>
              <w:t xml:space="preserve">Transmission Grant </w:t>
            </w:r>
          </w:p>
        </w:tc>
        <w:tc>
          <w:tcPr>
            <w:tcW w:w="2723"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Arial"/>
                <w:color w:val="000000"/>
              </w:rPr>
              <w:t xml:space="preserve"> </w:t>
            </w:r>
            <w:r w:rsidRPr="00F419C7">
              <w:rPr>
                <w:rFonts w:cs="Calibri"/>
                <w:bCs/>
                <w:color w:val="000000"/>
              </w:rPr>
              <w:t xml:space="preserve">23,000 </w:t>
            </w:r>
          </w:p>
        </w:tc>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23,000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tcPr>
          <w:p w:rsidR="00A94F13" w:rsidRPr="00F419C7" w:rsidRDefault="00A94F13" w:rsidP="003C19D2">
            <w:pPr>
              <w:autoSpaceDE w:val="0"/>
              <w:autoSpaceDN w:val="0"/>
              <w:adjustRightInd w:val="0"/>
              <w:spacing w:after="0" w:line="240" w:lineRule="auto"/>
              <w:rPr>
                <w:rFonts w:cs="Arial"/>
                <w:color w:val="000000"/>
              </w:rPr>
            </w:pPr>
            <w:r w:rsidRPr="00F419C7">
              <w:rPr>
                <w:rFonts w:cs="Arial"/>
              </w:rPr>
              <w:t xml:space="preserve"> </w:t>
            </w:r>
            <w:r w:rsidRPr="00F419C7">
              <w:rPr>
                <w:rFonts w:cs="Calibri"/>
                <w:bCs/>
                <w:color w:val="000000"/>
              </w:rPr>
              <w:t xml:space="preserve">other grants </w:t>
            </w:r>
          </w:p>
        </w:tc>
        <w:tc>
          <w:tcPr>
            <w:tcW w:w="2723"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Arial"/>
                <w:color w:val="000000"/>
              </w:rPr>
              <w:t xml:space="preserve"> </w:t>
            </w:r>
            <w:r w:rsidRPr="00F419C7">
              <w:rPr>
                <w:rFonts w:cs="Calibri"/>
                <w:bCs/>
                <w:color w:val="000000"/>
              </w:rPr>
              <w:t xml:space="preserve">13,800 </w:t>
            </w:r>
          </w:p>
        </w:tc>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38,850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Arial"/>
              </w:rPr>
              <w:t xml:space="preserve"> </w:t>
            </w:r>
            <w:r w:rsidRPr="00F419C7">
              <w:rPr>
                <w:rFonts w:cs="Calibri"/>
                <w:bCs/>
                <w:color w:val="000000"/>
              </w:rPr>
              <w:t xml:space="preserve">Interest </w:t>
            </w:r>
          </w:p>
        </w:tc>
        <w:tc>
          <w:tcPr>
            <w:tcW w:w="2723"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29,000 </w:t>
            </w:r>
          </w:p>
        </w:tc>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14,000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Arial"/>
              </w:rPr>
              <w:t xml:space="preserve"> </w:t>
            </w:r>
            <w:r w:rsidRPr="00F419C7">
              <w:rPr>
                <w:rFonts w:cs="Calibri"/>
                <w:bCs/>
                <w:color w:val="000000"/>
              </w:rPr>
              <w:t xml:space="preserve">Miscellaneous revenue </w:t>
            </w:r>
          </w:p>
        </w:tc>
        <w:tc>
          <w:tcPr>
            <w:tcW w:w="2723"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2,564 </w:t>
            </w:r>
          </w:p>
        </w:tc>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4,700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Arial"/>
              </w:rPr>
              <w:t xml:space="preserve"> </w:t>
            </w:r>
            <w:r w:rsidRPr="00F419C7">
              <w:rPr>
                <w:rFonts w:cs="Calibri"/>
                <w:bCs/>
                <w:color w:val="000000"/>
              </w:rPr>
              <w:t xml:space="preserve">Total </w:t>
            </w:r>
          </w:p>
        </w:tc>
        <w:tc>
          <w:tcPr>
            <w:tcW w:w="2723"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194,314 </w:t>
            </w:r>
          </w:p>
        </w:tc>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177,680 </w:t>
            </w:r>
          </w:p>
        </w:tc>
        <w:tc>
          <w:tcPr>
            <w:tcW w:w="360" w:type="dxa"/>
          </w:tcPr>
          <w:p w:rsidR="00A94F13" w:rsidRPr="00F419C7" w:rsidRDefault="00A94F13" w:rsidP="003C19D2">
            <w:r w:rsidRPr="00F419C7">
              <w:rPr>
                <w:rFonts w:cs="Calibri"/>
              </w:rPr>
              <w:t xml:space="preserve"> </w:t>
            </w:r>
          </w:p>
        </w:tc>
      </w:tr>
      <w:tr w:rsidR="00A94F13" w:rsidRPr="00F419C7" w:rsidTr="003C19D2">
        <w:trPr>
          <w:trHeight w:val="138"/>
        </w:trPr>
        <w:tc>
          <w:tcPr>
            <w:tcW w:w="8169" w:type="dxa"/>
            <w:gridSpan w:val="4"/>
            <w:shd w:val="clear" w:color="auto" w:fill="B4C6E7" w:themeFill="accent1" w:themeFillTint="66"/>
          </w:tcPr>
          <w:p w:rsidR="00A94F13" w:rsidRPr="00F419C7" w:rsidRDefault="00A94F13" w:rsidP="003C19D2">
            <w:pPr>
              <w:autoSpaceDE w:val="0"/>
              <w:autoSpaceDN w:val="0"/>
              <w:adjustRightInd w:val="0"/>
              <w:spacing w:after="0" w:line="240" w:lineRule="auto"/>
              <w:rPr>
                <w:rFonts w:cs="Calibri"/>
                <w:color w:val="000000"/>
              </w:rPr>
            </w:pPr>
            <w:r w:rsidRPr="00F419C7">
              <w:rPr>
                <w:rFonts w:cs="Arial"/>
              </w:rPr>
              <w:t xml:space="preserve"> </w:t>
            </w:r>
            <w:r w:rsidRPr="00F419C7">
              <w:rPr>
                <w:rFonts w:cs="Calibri"/>
                <w:bCs/>
                <w:color w:val="000000"/>
              </w:rPr>
              <w:t xml:space="preserve">EXPENDITURE </w:t>
            </w:r>
          </w:p>
        </w:tc>
        <w:tc>
          <w:tcPr>
            <w:tcW w:w="720" w:type="dxa"/>
            <w:gridSpan w:val="2"/>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tcPr>
          <w:p w:rsidR="00A94F13" w:rsidRPr="00F419C7" w:rsidRDefault="00A94F13" w:rsidP="003C19D2">
            <w:pPr>
              <w:autoSpaceDE w:val="0"/>
              <w:autoSpaceDN w:val="0"/>
              <w:adjustRightInd w:val="0"/>
              <w:spacing w:after="0" w:line="240" w:lineRule="auto"/>
              <w:rPr>
                <w:rFonts w:cs="Arial"/>
                <w:color w:val="000000"/>
              </w:rPr>
            </w:pPr>
            <w:r w:rsidRPr="00F419C7">
              <w:rPr>
                <w:rFonts w:cs="Arial"/>
              </w:rPr>
              <w:t xml:space="preserve"> </w:t>
            </w:r>
            <w:r w:rsidRPr="00F419C7">
              <w:rPr>
                <w:rFonts w:cs="Calibri"/>
                <w:bCs/>
                <w:color w:val="000000"/>
              </w:rPr>
              <w:t xml:space="preserve">Accounting Fees </w:t>
            </w:r>
          </w:p>
        </w:tc>
        <w:tc>
          <w:tcPr>
            <w:tcW w:w="2723"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Arial"/>
                <w:color w:val="000000"/>
              </w:rPr>
              <w:t xml:space="preserve"> </w:t>
            </w:r>
            <w:r w:rsidRPr="00F419C7">
              <w:rPr>
                <w:rFonts w:cs="Calibri"/>
                <w:bCs/>
                <w:color w:val="000000"/>
              </w:rPr>
              <w:t xml:space="preserve">900 </w:t>
            </w:r>
          </w:p>
        </w:tc>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900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tcPr>
          <w:p w:rsidR="00A94F13" w:rsidRPr="00F419C7" w:rsidRDefault="00A94F13" w:rsidP="003C19D2">
            <w:pPr>
              <w:autoSpaceDE w:val="0"/>
              <w:autoSpaceDN w:val="0"/>
              <w:adjustRightInd w:val="0"/>
              <w:spacing w:after="0" w:line="240" w:lineRule="auto"/>
              <w:rPr>
                <w:rFonts w:cs="Arial"/>
                <w:color w:val="000000"/>
              </w:rPr>
            </w:pPr>
            <w:r w:rsidRPr="00F419C7">
              <w:rPr>
                <w:rFonts w:cs="Arial"/>
              </w:rPr>
              <w:t xml:space="preserve"> </w:t>
            </w:r>
            <w:r w:rsidRPr="00F419C7">
              <w:rPr>
                <w:rFonts w:cs="Calibri"/>
                <w:bCs/>
                <w:color w:val="000000"/>
              </w:rPr>
              <w:t xml:space="preserve">Advertising and promotion </w:t>
            </w:r>
          </w:p>
        </w:tc>
        <w:tc>
          <w:tcPr>
            <w:tcW w:w="2723"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Arial"/>
                <w:color w:val="000000"/>
              </w:rPr>
              <w:t xml:space="preserve"> </w:t>
            </w:r>
            <w:r w:rsidRPr="00F419C7">
              <w:rPr>
                <w:rFonts w:cs="Calibri"/>
                <w:bCs/>
                <w:color w:val="000000"/>
              </w:rPr>
              <w:t xml:space="preserve">989 </w:t>
            </w:r>
          </w:p>
        </w:tc>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1,495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Arial"/>
              </w:rPr>
              <w:t xml:space="preserve"> </w:t>
            </w:r>
            <w:r w:rsidRPr="00F419C7">
              <w:rPr>
                <w:rFonts w:cs="Calibri"/>
                <w:bCs/>
                <w:color w:val="000000"/>
              </w:rPr>
              <w:t xml:space="preserve">Bank charges </w:t>
            </w:r>
          </w:p>
        </w:tc>
        <w:tc>
          <w:tcPr>
            <w:tcW w:w="2723"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123 </w:t>
            </w:r>
          </w:p>
        </w:tc>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75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tcPr>
          <w:p w:rsidR="00A94F13" w:rsidRPr="00F419C7" w:rsidRDefault="00A94F13" w:rsidP="003C19D2">
            <w:pPr>
              <w:autoSpaceDE w:val="0"/>
              <w:autoSpaceDN w:val="0"/>
              <w:adjustRightInd w:val="0"/>
              <w:spacing w:after="0" w:line="240" w:lineRule="auto"/>
              <w:rPr>
                <w:rFonts w:cs="Arial"/>
                <w:color w:val="000000"/>
              </w:rPr>
            </w:pPr>
            <w:r w:rsidRPr="00F419C7">
              <w:rPr>
                <w:rFonts w:cs="Arial"/>
              </w:rPr>
              <w:t xml:space="preserve"> </w:t>
            </w:r>
            <w:r w:rsidRPr="00F419C7">
              <w:rPr>
                <w:rFonts w:cs="Calibri"/>
                <w:bCs/>
                <w:color w:val="000000"/>
              </w:rPr>
              <w:t xml:space="preserve">Conferences </w:t>
            </w:r>
          </w:p>
        </w:tc>
        <w:tc>
          <w:tcPr>
            <w:tcW w:w="2723"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Arial"/>
                <w:color w:val="000000"/>
              </w:rPr>
              <w:t xml:space="preserve"> </w:t>
            </w:r>
            <w:r w:rsidRPr="00F419C7">
              <w:rPr>
                <w:rFonts w:cs="Calibri"/>
                <w:bCs/>
                <w:color w:val="000000"/>
              </w:rPr>
              <w:t xml:space="preserve">2,100 </w:t>
            </w:r>
          </w:p>
        </w:tc>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2,000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tcPr>
          <w:p w:rsidR="00A94F13" w:rsidRPr="00F419C7" w:rsidRDefault="00A94F13" w:rsidP="003C19D2">
            <w:pPr>
              <w:autoSpaceDE w:val="0"/>
              <w:autoSpaceDN w:val="0"/>
              <w:adjustRightInd w:val="0"/>
              <w:spacing w:after="0" w:line="240" w:lineRule="auto"/>
              <w:rPr>
                <w:rFonts w:cs="Arial"/>
                <w:color w:val="000000"/>
              </w:rPr>
            </w:pPr>
            <w:r w:rsidRPr="00F419C7">
              <w:rPr>
                <w:rFonts w:cs="Arial"/>
              </w:rPr>
              <w:t xml:space="preserve"> </w:t>
            </w:r>
            <w:r w:rsidRPr="00F419C7">
              <w:rPr>
                <w:rFonts w:cs="Calibri"/>
                <w:bCs/>
                <w:color w:val="000000"/>
              </w:rPr>
              <w:t xml:space="preserve">Consultants Fee </w:t>
            </w:r>
          </w:p>
        </w:tc>
        <w:tc>
          <w:tcPr>
            <w:tcW w:w="2723"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Arial"/>
                <w:color w:val="000000"/>
              </w:rPr>
              <w:t xml:space="preserve"> </w:t>
            </w:r>
            <w:r w:rsidRPr="00F419C7">
              <w:rPr>
                <w:rFonts w:cs="Calibri"/>
                <w:bCs/>
                <w:color w:val="000000"/>
              </w:rPr>
              <w:t xml:space="preserve">6054 </w:t>
            </w:r>
          </w:p>
        </w:tc>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5793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4084" w:type="dxa"/>
            <w:gridSpan w:val="2"/>
          </w:tcPr>
          <w:p w:rsidR="00A94F13" w:rsidRPr="00F419C7" w:rsidRDefault="00A94F13" w:rsidP="003C19D2">
            <w:pPr>
              <w:autoSpaceDE w:val="0"/>
              <w:autoSpaceDN w:val="0"/>
              <w:adjustRightInd w:val="0"/>
              <w:spacing w:after="0" w:line="240" w:lineRule="auto"/>
              <w:rPr>
                <w:rFonts w:cs="Arial"/>
                <w:color w:val="000000"/>
              </w:rPr>
            </w:pPr>
            <w:r w:rsidRPr="00F419C7">
              <w:rPr>
                <w:rFonts w:cs="Arial"/>
              </w:rPr>
              <w:lastRenderedPageBreak/>
              <w:t xml:space="preserve"> </w:t>
            </w:r>
            <w:r w:rsidRPr="00F419C7">
              <w:rPr>
                <w:rFonts w:cs="Calibri"/>
                <w:bCs/>
                <w:color w:val="000000"/>
              </w:rPr>
              <w:t xml:space="preserve">Debts written off </w:t>
            </w:r>
          </w:p>
        </w:tc>
        <w:tc>
          <w:tcPr>
            <w:tcW w:w="4085"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Arial"/>
                <w:color w:val="000000"/>
              </w:rPr>
              <w:t xml:space="preserve"> </w:t>
            </w:r>
            <w:r w:rsidRPr="00F419C7">
              <w:rPr>
                <w:rFonts w:cs="Calibri"/>
                <w:bCs/>
                <w:color w:val="000000"/>
              </w:rPr>
              <w:t xml:space="preserve">535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Arial"/>
              </w:rPr>
              <w:t xml:space="preserve"> </w:t>
            </w:r>
            <w:r w:rsidRPr="00F419C7">
              <w:rPr>
                <w:rFonts w:cs="Calibri"/>
                <w:bCs/>
                <w:color w:val="000000"/>
              </w:rPr>
              <w:t xml:space="preserve">Depreciation </w:t>
            </w:r>
          </w:p>
        </w:tc>
        <w:tc>
          <w:tcPr>
            <w:tcW w:w="2723"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10,000 </w:t>
            </w:r>
          </w:p>
        </w:tc>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10,000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Arial"/>
              </w:rPr>
              <w:t xml:space="preserve"> </w:t>
            </w:r>
            <w:r w:rsidRPr="00F419C7">
              <w:rPr>
                <w:rFonts w:cs="Calibri"/>
                <w:bCs/>
                <w:color w:val="000000"/>
              </w:rPr>
              <w:t xml:space="preserve">Grant expenses </w:t>
            </w:r>
          </w:p>
        </w:tc>
        <w:tc>
          <w:tcPr>
            <w:tcW w:w="2723"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23,980 </w:t>
            </w:r>
          </w:p>
        </w:tc>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16,715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Arial"/>
              </w:rPr>
              <w:t xml:space="preserve"> </w:t>
            </w:r>
            <w:r w:rsidRPr="00F419C7">
              <w:rPr>
                <w:rFonts w:cs="Calibri"/>
                <w:bCs/>
                <w:color w:val="000000"/>
              </w:rPr>
              <w:t xml:space="preserve">Insurance </w:t>
            </w:r>
          </w:p>
        </w:tc>
        <w:tc>
          <w:tcPr>
            <w:tcW w:w="2723"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2,318 </w:t>
            </w:r>
          </w:p>
        </w:tc>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2,368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tcPr>
          <w:p w:rsidR="00A94F13" w:rsidRPr="00F419C7" w:rsidRDefault="00A94F13" w:rsidP="003C19D2">
            <w:pPr>
              <w:autoSpaceDE w:val="0"/>
              <w:autoSpaceDN w:val="0"/>
              <w:adjustRightInd w:val="0"/>
              <w:spacing w:after="0" w:line="240" w:lineRule="auto"/>
              <w:rPr>
                <w:rFonts w:cs="Arial"/>
                <w:color w:val="000000"/>
              </w:rPr>
            </w:pPr>
            <w:r w:rsidRPr="00F419C7">
              <w:rPr>
                <w:rFonts w:cs="Arial"/>
              </w:rPr>
              <w:t xml:space="preserve"> </w:t>
            </w:r>
            <w:r w:rsidRPr="00F419C7">
              <w:rPr>
                <w:rFonts w:cs="Calibri"/>
                <w:bCs/>
                <w:color w:val="000000"/>
              </w:rPr>
              <w:t xml:space="preserve">IT &amp; internet expenses </w:t>
            </w:r>
          </w:p>
        </w:tc>
        <w:tc>
          <w:tcPr>
            <w:tcW w:w="2723"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Arial"/>
                <w:color w:val="000000"/>
              </w:rPr>
              <w:t xml:space="preserve"> </w:t>
            </w:r>
            <w:r w:rsidRPr="00F419C7">
              <w:rPr>
                <w:rFonts w:cs="Calibri"/>
                <w:bCs/>
                <w:color w:val="000000"/>
              </w:rPr>
              <w:t xml:space="preserve">2,110 </w:t>
            </w:r>
          </w:p>
        </w:tc>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863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Arial"/>
              </w:rPr>
              <w:t xml:space="preserve"> </w:t>
            </w:r>
            <w:r w:rsidRPr="00F419C7">
              <w:rPr>
                <w:rFonts w:cs="Calibri"/>
                <w:bCs/>
                <w:color w:val="000000"/>
              </w:rPr>
              <w:t xml:space="preserve">Licences </w:t>
            </w:r>
          </w:p>
        </w:tc>
        <w:tc>
          <w:tcPr>
            <w:tcW w:w="2723"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3,638 </w:t>
            </w:r>
          </w:p>
        </w:tc>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3,265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Arial"/>
              </w:rPr>
              <w:t xml:space="preserve"> </w:t>
            </w:r>
            <w:r w:rsidRPr="00F419C7">
              <w:rPr>
                <w:rFonts w:cs="Calibri"/>
                <w:bCs/>
                <w:color w:val="000000"/>
              </w:rPr>
              <w:t xml:space="preserve">Maintenance </w:t>
            </w:r>
          </w:p>
        </w:tc>
        <w:tc>
          <w:tcPr>
            <w:tcW w:w="2723"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4,598 </w:t>
            </w:r>
          </w:p>
        </w:tc>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3,336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tcPr>
          <w:p w:rsidR="00A94F13" w:rsidRPr="00F419C7" w:rsidRDefault="00A94F13" w:rsidP="003C19D2">
            <w:pPr>
              <w:autoSpaceDE w:val="0"/>
              <w:autoSpaceDN w:val="0"/>
              <w:adjustRightInd w:val="0"/>
              <w:spacing w:after="0" w:line="240" w:lineRule="auto"/>
              <w:rPr>
                <w:rFonts w:cs="Arial"/>
                <w:color w:val="000000"/>
              </w:rPr>
            </w:pPr>
            <w:r w:rsidRPr="00F419C7">
              <w:rPr>
                <w:rFonts w:cs="Arial"/>
              </w:rPr>
              <w:t xml:space="preserve"> </w:t>
            </w:r>
            <w:r w:rsidRPr="00F419C7">
              <w:rPr>
                <w:rFonts w:cs="Calibri"/>
                <w:bCs/>
                <w:color w:val="000000"/>
              </w:rPr>
              <w:t xml:space="preserve">Minor Equipment </w:t>
            </w:r>
          </w:p>
        </w:tc>
        <w:tc>
          <w:tcPr>
            <w:tcW w:w="2723"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Arial"/>
                <w:color w:val="000000"/>
              </w:rPr>
              <w:t xml:space="preserve"> </w:t>
            </w:r>
            <w:r w:rsidRPr="00F419C7">
              <w:rPr>
                <w:rFonts w:cs="Calibri"/>
                <w:bCs/>
                <w:color w:val="000000"/>
              </w:rPr>
              <w:t xml:space="preserve">1,154 </w:t>
            </w:r>
          </w:p>
        </w:tc>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830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Arial"/>
              </w:rPr>
              <w:t xml:space="preserve"> </w:t>
            </w:r>
            <w:r w:rsidRPr="00F419C7">
              <w:rPr>
                <w:rFonts w:cs="Calibri"/>
                <w:bCs/>
                <w:color w:val="000000"/>
              </w:rPr>
              <w:t xml:space="preserve">Miscellaneous </w:t>
            </w:r>
          </w:p>
        </w:tc>
        <w:tc>
          <w:tcPr>
            <w:tcW w:w="2723"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3,335 </w:t>
            </w:r>
          </w:p>
        </w:tc>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3,162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tcPr>
          <w:p w:rsidR="00A94F13" w:rsidRPr="00F419C7" w:rsidRDefault="00A94F13" w:rsidP="003C19D2">
            <w:pPr>
              <w:autoSpaceDE w:val="0"/>
              <w:autoSpaceDN w:val="0"/>
              <w:adjustRightInd w:val="0"/>
              <w:spacing w:after="0" w:line="240" w:lineRule="auto"/>
              <w:rPr>
                <w:rFonts w:cs="Arial"/>
                <w:color w:val="000000"/>
              </w:rPr>
            </w:pPr>
            <w:r w:rsidRPr="00F419C7">
              <w:rPr>
                <w:rFonts w:cs="Arial"/>
              </w:rPr>
              <w:t xml:space="preserve"> </w:t>
            </w:r>
            <w:r w:rsidRPr="00F419C7">
              <w:rPr>
                <w:rFonts w:cs="Calibri"/>
                <w:bCs/>
                <w:color w:val="000000"/>
              </w:rPr>
              <w:t xml:space="preserve">Transmitter site rental </w:t>
            </w:r>
          </w:p>
        </w:tc>
        <w:tc>
          <w:tcPr>
            <w:tcW w:w="2723"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Arial"/>
                <w:color w:val="000000"/>
              </w:rPr>
              <w:t xml:space="preserve"> </w:t>
            </w:r>
            <w:r w:rsidRPr="00F419C7">
              <w:rPr>
                <w:rFonts w:cs="Calibri"/>
                <w:bCs/>
                <w:color w:val="000000"/>
              </w:rPr>
              <w:t xml:space="preserve">22,586 </w:t>
            </w:r>
          </w:p>
        </w:tc>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36,290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Arial"/>
              </w:rPr>
              <w:t xml:space="preserve"> </w:t>
            </w:r>
            <w:r w:rsidRPr="00F419C7">
              <w:rPr>
                <w:rFonts w:cs="Calibri"/>
                <w:bCs/>
                <w:color w:val="000000"/>
              </w:rPr>
              <w:t xml:space="preserve">Postage </w:t>
            </w:r>
          </w:p>
        </w:tc>
        <w:tc>
          <w:tcPr>
            <w:tcW w:w="2723"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400 </w:t>
            </w:r>
          </w:p>
        </w:tc>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450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Arial"/>
              </w:rPr>
              <w:t xml:space="preserve"> </w:t>
            </w:r>
            <w:r w:rsidRPr="00F419C7">
              <w:rPr>
                <w:rFonts w:cs="Calibri"/>
                <w:bCs/>
                <w:color w:val="000000"/>
              </w:rPr>
              <w:t xml:space="preserve">Rent </w:t>
            </w:r>
          </w:p>
        </w:tc>
        <w:tc>
          <w:tcPr>
            <w:tcW w:w="2723"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8,137 </w:t>
            </w:r>
          </w:p>
        </w:tc>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7,566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Arial"/>
              </w:rPr>
              <w:t xml:space="preserve"> </w:t>
            </w:r>
            <w:r w:rsidRPr="00F419C7">
              <w:rPr>
                <w:rFonts w:cs="Calibri"/>
                <w:bCs/>
                <w:color w:val="000000"/>
              </w:rPr>
              <w:t xml:space="preserve">Salaries </w:t>
            </w:r>
          </w:p>
        </w:tc>
        <w:tc>
          <w:tcPr>
            <w:tcW w:w="2723"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62,480 </w:t>
            </w:r>
          </w:p>
        </w:tc>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55,000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Arial"/>
              </w:rPr>
              <w:t xml:space="preserve"> </w:t>
            </w:r>
            <w:r w:rsidRPr="00F419C7">
              <w:rPr>
                <w:rFonts w:cs="Calibri"/>
                <w:bCs/>
                <w:color w:val="000000"/>
              </w:rPr>
              <w:t xml:space="preserve">Subscriptions </w:t>
            </w:r>
          </w:p>
        </w:tc>
        <w:tc>
          <w:tcPr>
            <w:tcW w:w="2723"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3,330 </w:t>
            </w:r>
          </w:p>
        </w:tc>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1,772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Arial"/>
              </w:rPr>
              <w:t xml:space="preserve"> </w:t>
            </w:r>
            <w:r w:rsidRPr="00F419C7">
              <w:rPr>
                <w:rFonts w:cs="Calibri"/>
                <w:bCs/>
                <w:color w:val="000000"/>
              </w:rPr>
              <w:t xml:space="preserve">Telephone </w:t>
            </w:r>
          </w:p>
        </w:tc>
        <w:tc>
          <w:tcPr>
            <w:tcW w:w="2723"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3,103 </w:t>
            </w:r>
          </w:p>
        </w:tc>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3,339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Arial"/>
              </w:rPr>
              <w:t xml:space="preserve"> </w:t>
            </w:r>
            <w:r w:rsidRPr="00F419C7">
              <w:rPr>
                <w:rFonts w:cs="Calibri"/>
                <w:bCs/>
                <w:color w:val="000000"/>
              </w:rPr>
              <w:t xml:space="preserve">Training </w:t>
            </w:r>
          </w:p>
        </w:tc>
        <w:tc>
          <w:tcPr>
            <w:tcW w:w="2723" w:type="dxa"/>
            <w:gridSpan w:val="2"/>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5,700 </w:t>
            </w:r>
          </w:p>
        </w:tc>
        <w:tc>
          <w:tcPr>
            <w:tcW w:w="2723" w:type="dxa"/>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2,056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shd w:val="clear" w:color="auto" w:fill="DEEAF6" w:themeFill="accent5" w:themeFillTint="33"/>
          </w:tcPr>
          <w:p w:rsidR="00A94F13" w:rsidRPr="00F419C7" w:rsidRDefault="00A94F13" w:rsidP="003C19D2">
            <w:pPr>
              <w:autoSpaceDE w:val="0"/>
              <w:autoSpaceDN w:val="0"/>
              <w:adjustRightInd w:val="0"/>
              <w:spacing w:after="0" w:line="240" w:lineRule="auto"/>
              <w:rPr>
                <w:rFonts w:cs="Calibri"/>
                <w:color w:val="000000"/>
              </w:rPr>
            </w:pPr>
            <w:r w:rsidRPr="00F419C7">
              <w:rPr>
                <w:rFonts w:cs="Arial"/>
              </w:rPr>
              <w:t xml:space="preserve"> </w:t>
            </w:r>
            <w:r w:rsidRPr="00F419C7">
              <w:rPr>
                <w:rFonts w:cs="Calibri"/>
                <w:bCs/>
                <w:color w:val="000000"/>
              </w:rPr>
              <w:t xml:space="preserve">TOTAL </w:t>
            </w:r>
          </w:p>
        </w:tc>
        <w:tc>
          <w:tcPr>
            <w:tcW w:w="2723" w:type="dxa"/>
            <w:gridSpan w:val="2"/>
            <w:shd w:val="clear" w:color="auto" w:fill="DEEAF6" w:themeFill="accent5" w:themeFillTint="33"/>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181,536 </w:t>
            </w:r>
          </w:p>
        </w:tc>
        <w:tc>
          <w:tcPr>
            <w:tcW w:w="2723" w:type="dxa"/>
            <w:shd w:val="clear" w:color="auto" w:fill="DEEAF6" w:themeFill="accent5" w:themeFillTint="33"/>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163,582 </w:t>
            </w:r>
          </w:p>
        </w:tc>
        <w:tc>
          <w:tcPr>
            <w:tcW w:w="360" w:type="dxa"/>
          </w:tcPr>
          <w:p w:rsidR="00A94F13" w:rsidRPr="00F419C7" w:rsidRDefault="00A94F13" w:rsidP="003C19D2">
            <w:r w:rsidRPr="00F419C7">
              <w:rPr>
                <w:rFonts w:cs="Calibri"/>
              </w:rPr>
              <w:t xml:space="preserve"> </w:t>
            </w:r>
          </w:p>
        </w:tc>
      </w:tr>
      <w:tr w:rsidR="00A94F13" w:rsidRPr="00F419C7" w:rsidTr="003C19D2">
        <w:trPr>
          <w:gridAfter w:val="1"/>
          <w:wAfter w:w="360" w:type="dxa"/>
          <w:trHeight w:val="138"/>
        </w:trPr>
        <w:tc>
          <w:tcPr>
            <w:tcW w:w="2723" w:type="dxa"/>
            <w:shd w:val="clear" w:color="auto" w:fill="DEEAF6" w:themeFill="accent5" w:themeFillTint="33"/>
          </w:tcPr>
          <w:p w:rsidR="00A94F13" w:rsidRPr="00F419C7" w:rsidRDefault="00A94F13" w:rsidP="003C19D2">
            <w:pPr>
              <w:autoSpaceDE w:val="0"/>
              <w:autoSpaceDN w:val="0"/>
              <w:adjustRightInd w:val="0"/>
              <w:spacing w:after="0" w:line="240" w:lineRule="auto"/>
              <w:rPr>
                <w:rFonts w:cs="Calibri"/>
                <w:color w:val="000000"/>
              </w:rPr>
            </w:pPr>
            <w:r w:rsidRPr="00F419C7">
              <w:rPr>
                <w:rFonts w:cs="Arial"/>
              </w:rPr>
              <w:t xml:space="preserve"> </w:t>
            </w:r>
            <w:r w:rsidRPr="00F419C7">
              <w:rPr>
                <w:rFonts w:cs="Calibri"/>
                <w:bCs/>
                <w:color w:val="000000"/>
              </w:rPr>
              <w:t xml:space="preserve">Deficit/surplus for the year </w:t>
            </w:r>
          </w:p>
        </w:tc>
        <w:tc>
          <w:tcPr>
            <w:tcW w:w="2723" w:type="dxa"/>
            <w:gridSpan w:val="2"/>
            <w:shd w:val="clear" w:color="auto" w:fill="DEEAF6" w:themeFill="accent5" w:themeFillTint="33"/>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12,778 </w:t>
            </w:r>
          </w:p>
        </w:tc>
        <w:tc>
          <w:tcPr>
            <w:tcW w:w="2723" w:type="dxa"/>
            <w:shd w:val="clear" w:color="auto" w:fill="DEEAF6" w:themeFill="accent5" w:themeFillTint="33"/>
          </w:tcPr>
          <w:p w:rsidR="00A94F13" w:rsidRPr="00F419C7" w:rsidRDefault="00A94F13" w:rsidP="003C19D2">
            <w:pPr>
              <w:autoSpaceDE w:val="0"/>
              <w:autoSpaceDN w:val="0"/>
              <w:adjustRightInd w:val="0"/>
              <w:spacing w:after="0" w:line="240" w:lineRule="auto"/>
              <w:rPr>
                <w:rFonts w:cs="Calibri"/>
                <w:color w:val="000000"/>
              </w:rPr>
            </w:pPr>
            <w:r w:rsidRPr="00F419C7">
              <w:rPr>
                <w:rFonts w:cs="Calibri"/>
                <w:color w:val="000000"/>
              </w:rPr>
              <w:t xml:space="preserve"> </w:t>
            </w:r>
            <w:r w:rsidRPr="00F419C7">
              <w:rPr>
                <w:rFonts w:cs="Calibri"/>
                <w:bCs/>
                <w:color w:val="000000"/>
              </w:rPr>
              <w:t xml:space="preserve">14,098 </w:t>
            </w:r>
          </w:p>
        </w:tc>
        <w:tc>
          <w:tcPr>
            <w:tcW w:w="360" w:type="dxa"/>
          </w:tcPr>
          <w:p w:rsidR="00A94F13" w:rsidRPr="00F419C7" w:rsidRDefault="00A94F13" w:rsidP="003C19D2">
            <w:r w:rsidRPr="00F419C7">
              <w:rPr>
                <w:rFonts w:cs="Calibri"/>
              </w:rPr>
              <w:t xml:space="preserve"> </w:t>
            </w:r>
          </w:p>
        </w:tc>
      </w:tr>
    </w:tbl>
    <w:p w:rsidR="00A94F13" w:rsidRPr="00F419C7" w:rsidRDefault="00A94F13" w:rsidP="00A94F13"/>
    <w:p w:rsidR="00A94F13" w:rsidRDefault="00A94F13" w:rsidP="00A94F13">
      <w:pPr>
        <w:rPr>
          <w:rFonts w:ascii="Arial" w:hAnsi="Arial" w:cs="Arial"/>
          <w:b/>
          <w:bCs/>
          <w:color w:val="000000"/>
        </w:rPr>
      </w:pPr>
      <w:r>
        <w:rPr>
          <w:rFonts w:ascii="Arial" w:hAnsi="Arial" w:cs="Arial"/>
          <w:b/>
          <w:bCs/>
          <w:color w:val="000000"/>
        </w:rPr>
        <w:br w:type="page"/>
      </w:r>
    </w:p>
    <w:p w:rsidR="00A94F13" w:rsidRDefault="00A94F13" w:rsidP="00A94F13">
      <w:pPr>
        <w:pBdr>
          <w:bottom w:val="single" w:sz="12" w:space="1" w:color="auto"/>
        </w:pBdr>
        <w:autoSpaceDE w:val="0"/>
        <w:autoSpaceDN w:val="0"/>
        <w:adjustRightInd w:val="0"/>
        <w:spacing w:after="0" w:line="240" w:lineRule="auto"/>
        <w:rPr>
          <w:rFonts w:ascii="Arial" w:hAnsi="Arial" w:cs="Arial"/>
          <w:b/>
          <w:bCs/>
          <w:color w:val="000000"/>
        </w:rPr>
      </w:pPr>
      <w:r w:rsidRPr="00F419C7">
        <w:rPr>
          <w:rFonts w:ascii="Arial" w:hAnsi="Arial" w:cs="Arial"/>
          <w:b/>
          <w:bCs/>
          <w:color w:val="000000"/>
        </w:rPr>
        <w:lastRenderedPageBreak/>
        <w:t xml:space="preserve">Cash Flow Statement </w:t>
      </w:r>
    </w:p>
    <w:p w:rsidR="00A94F13" w:rsidRPr="00F419C7" w:rsidRDefault="00A94F13" w:rsidP="00A94F13">
      <w:pPr>
        <w:autoSpaceDE w:val="0"/>
        <w:autoSpaceDN w:val="0"/>
        <w:adjustRightInd w:val="0"/>
        <w:spacing w:after="0" w:line="240" w:lineRule="auto"/>
        <w:rPr>
          <w:rFonts w:ascii="Arial" w:hAnsi="Arial" w:cs="Arial"/>
          <w:b/>
          <w:bCs/>
          <w:color w:val="000000"/>
        </w:rPr>
      </w:pPr>
    </w:p>
    <w:p w:rsidR="00A94F13" w:rsidRDefault="00A94F13" w:rsidP="00A94F13">
      <w:pPr>
        <w:autoSpaceDE w:val="0"/>
        <w:autoSpaceDN w:val="0"/>
        <w:adjustRightInd w:val="0"/>
        <w:spacing w:after="0" w:line="240" w:lineRule="auto"/>
        <w:rPr>
          <w:rFonts w:cs="Arial"/>
          <w:color w:val="000000"/>
        </w:rPr>
      </w:pPr>
      <w:r w:rsidRPr="00F419C7">
        <w:rPr>
          <w:rFonts w:cs="Arial"/>
          <w:color w:val="000000"/>
        </w:rPr>
        <w:t>The statement of cash flows is a summary of the money actually coming in and flowing out of the station over a specific period of time. It should not be confused with a Cash Flow Forecast that breaks your budget up across the year and shows you how much income or expenditure is expected to come in or go out on a monthly basis.</w:t>
      </w:r>
    </w:p>
    <w:p w:rsidR="00A94F13" w:rsidRDefault="00A94F13" w:rsidP="00A94F13">
      <w:pPr>
        <w:autoSpaceDE w:val="0"/>
        <w:autoSpaceDN w:val="0"/>
        <w:adjustRightInd w:val="0"/>
        <w:spacing w:after="0" w:line="240" w:lineRule="auto"/>
        <w:rPr>
          <w:rFonts w:cs="Arial"/>
          <w:color w:val="000000"/>
        </w:rPr>
      </w:pPr>
    </w:p>
    <w:p w:rsidR="00A94F13" w:rsidRDefault="00A94F13" w:rsidP="00A94F13">
      <w:pPr>
        <w:autoSpaceDE w:val="0"/>
        <w:autoSpaceDN w:val="0"/>
        <w:adjustRightInd w:val="0"/>
        <w:spacing w:after="0" w:line="240" w:lineRule="auto"/>
      </w:pPr>
      <w:r>
        <w:t>Ideally, a manager or treasurer will monitor both cash flow and Profit and Loss (P&amp;L) on a monthly basis and a Board or management committee would review financial reports either monthly or on a minimum of a quarterly basis.</w:t>
      </w:r>
    </w:p>
    <w:p w:rsidR="00A94F13" w:rsidRDefault="00A94F13" w:rsidP="00A94F13">
      <w:pPr>
        <w:autoSpaceDE w:val="0"/>
        <w:autoSpaceDN w:val="0"/>
        <w:adjustRightInd w:val="0"/>
        <w:spacing w:after="0" w:line="240" w:lineRule="auto"/>
      </w:pPr>
    </w:p>
    <w:p w:rsidR="00A94F13" w:rsidRDefault="00A94F13" w:rsidP="00A94F13">
      <w:pPr>
        <w:autoSpaceDE w:val="0"/>
        <w:autoSpaceDN w:val="0"/>
        <w:adjustRightInd w:val="0"/>
        <w:spacing w:after="0" w:line="240" w:lineRule="auto"/>
      </w:pPr>
      <w:r>
        <w:t>When an organisation has a tight financial budget, and little or no financial reserves, it is very important to monitor financial reports on a monthly basis to make sure the organisation is within budget and to be able see early warning signs of financial trouble.</w:t>
      </w:r>
    </w:p>
    <w:p w:rsidR="00A94F13" w:rsidRDefault="00A94F13" w:rsidP="00A94F13">
      <w:pPr>
        <w:autoSpaceDE w:val="0"/>
        <w:autoSpaceDN w:val="0"/>
        <w:adjustRightInd w:val="0"/>
        <w:spacing w:after="0" w:line="240" w:lineRule="auto"/>
      </w:pPr>
    </w:p>
    <w:p w:rsidR="00A94F13" w:rsidRDefault="00A94F13" w:rsidP="00A94F13">
      <w:pPr>
        <w:autoSpaceDE w:val="0"/>
        <w:autoSpaceDN w:val="0"/>
        <w:adjustRightInd w:val="0"/>
        <w:spacing w:after="0" w:line="240" w:lineRule="auto"/>
      </w:pPr>
      <w:r>
        <w:t>Three signals that can indicate the potential for an organisation to fail financially are:</w:t>
      </w:r>
    </w:p>
    <w:p w:rsidR="00A94F13" w:rsidRDefault="00A94F13" w:rsidP="00A94F13">
      <w:pPr>
        <w:pStyle w:val="ListParagraph"/>
        <w:numPr>
          <w:ilvl w:val="0"/>
          <w:numId w:val="5"/>
        </w:numPr>
        <w:autoSpaceDE w:val="0"/>
        <w:autoSpaceDN w:val="0"/>
        <w:adjustRightInd w:val="0"/>
        <w:spacing w:after="0" w:line="240" w:lineRule="auto"/>
      </w:pPr>
      <w:r>
        <w:t>Cash receipts are less than cash payments – there is a negative cash flow balance that is not predicted in the budget or cash flow forecasts</w:t>
      </w:r>
    </w:p>
    <w:p w:rsidR="00A94F13" w:rsidRDefault="00A94F13" w:rsidP="00A94F13">
      <w:pPr>
        <w:pStyle w:val="ListParagraph"/>
        <w:numPr>
          <w:ilvl w:val="0"/>
          <w:numId w:val="5"/>
        </w:numPr>
        <w:autoSpaceDE w:val="0"/>
        <w:autoSpaceDN w:val="0"/>
        <w:adjustRightInd w:val="0"/>
        <w:spacing w:after="0" w:line="240" w:lineRule="auto"/>
      </w:pPr>
      <w:r>
        <w:t>Profit &amp; Loss statements indicate there is a deficit – there is more money going out than there is coming in on an ongoing basis. If there are not enough financial reserves to cover the amount of the deficit, then income must be increased or expenditure must be reduced.</w:t>
      </w:r>
    </w:p>
    <w:p w:rsidR="00F419C7" w:rsidRDefault="00A94F13" w:rsidP="00424DCC">
      <w:pPr>
        <w:pStyle w:val="ListParagraph"/>
        <w:numPr>
          <w:ilvl w:val="0"/>
          <w:numId w:val="5"/>
        </w:numPr>
        <w:autoSpaceDE w:val="0"/>
        <w:autoSpaceDN w:val="0"/>
        <w:adjustRightInd w:val="0"/>
        <w:spacing w:after="0" w:line="240" w:lineRule="auto"/>
      </w:pPr>
      <w:r>
        <w:t>Regular financial reports are not being produced or monitored and the organisation is not clear about its financial position – steps should be taken to re-establish regular reports and monitoring as quickly as possible.</w:t>
      </w:r>
      <w:bookmarkStart w:id="0" w:name="_GoBack"/>
      <w:bookmarkEnd w:id="0"/>
    </w:p>
    <w:sectPr w:rsidR="00F419C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9E1" w:rsidRDefault="00D239E1" w:rsidP="00A74158">
      <w:pPr>
        <w:spacing w:after="0" w:line="240" w:lineRule="auto"/>
      </w:pPr>
      <w:r>
        <w:separator/>
      </w:r>
    </w:p>
  </w:endnote>
  <w:endnote w:type="continuationSeparator" w:id="0">
    <w:p w:rsidR="00D239E1" w:rsidRDefault="00D239E1" w:rsidP="00A7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158" w:rsidRPr="00A74158" w:rsidRDefault="00A74158" w:rsidP="00A74158">
    <w:pPr>
      <w:pStyle w:val="Footer"/>
      <w:rPr>
        <w:b/>
        <w:bCs/>
      </w:rPr>
    </w:pPr>
    <w:r w:rsidRPr="00A74158">
      <w:t>© CMTO</w:t>
    </w:r>
    <w:r w:rsidRPr="00A74158">
      <w:tab/>
      <w:t>Version 1.0 August 2017</w:t>
    </w:r>
    <w:r w:rsidRPr="00A74158">
      <w:tab/>
      <w:t xml:space="preserve">Page </w:t>
    </w:r>
    <w:r w:rsidRPr="00A74158">
      <w:rPr>
        <w:b/>
        <w:bCs/>
      </w:rPr>
      <w:fldChar w:fldCharType="begin"/>
    </w:r>
    <w:r w:rsidRPr="00A74158">
      <w:rPr>
        <w:b/>
        <w:bCs/>
      </w:rPr>
      <w:instrText xml:space="preserve"> PAGE  \* Arabic  \* MERGEFORMAT </w:instrText>
    </w:r>
    <w:r w:rsidRPr="00A74158">
      <w:rPr>
        <w:b/>
        <w:bCs/>
      </w:rPr>
      <w:fldChar w:fldCharType="separate"/>
    </w:r>
    <w:r w:rsidR="00C67FAE">
      <w:rPr>
        <w:b/>
        <w:bCs/>
        <w:noProof/>
      </w:rPr>
      <w:t>4</w:t>
    </w:r>
    <w:r w:rsidRPr="00A74158">
      <w:rPr>
        <w:b/>
        <w:bCs/>
      </w:rPr>
      <w:fldChar w:fldCharType="end"/>
    </w:r>
    <w:r w:rsidRPr="00A74158">
      <w:t xml:space="preserve"> of </w:t>
    </w:r>
    <w:r w:rsidRPr="00A74158">
      <w:rPr>
        <w:b/>
        <w:bCs/>
      </w:rPr>
      <w:fldChar w:fldCharType="begin"/>
    </w:r>
    <w:r w:rsidRPr="00A74158">
      <w:rPr>
        <w:b/>
        <w:bCs/>
      </w:rPr>
      <w:instrText xml:space="preserve"> NUMPAGES  \* Arabic  \* MERGEFORMAT </w:instrText>
    </w:r>
    <w:r w:rsidRPr="00A74158">
      <w:rPr>
        <w:b/>
        <w:bCs/>
      </w:rPr>
      <w:fldChar w:fldCharType="separate"/>
    </w:r>
    <w:r w:rsidR="00C67FAE">
      <w:rPr>
        <w:b/>
        <w:bCs/>
        <w:noProof/>
      </w:rPr>
      <w:t>4</w:t>
    </w:r>
    <w:r w:rsidRPr="00A74158">
      <w:rPr>
        <w:b/>
        <w:bCs/>
      </w:rPr>
      <w:fldChar w:fldCharType="end"/>
    </w:r>
  </w:p>
  <w:p w:rsidR="00A74158" w:rsidRPr="00A74158" w:rsidRDefault="00A74158">
    <w:pPr>
      <w:pStyle w:val="Footer"/>
    </w:pPr>
  </w:p>
  <w:p w:rsidR="00A74158" w:rsidRPr="00A74158" w:rsidRDefault="00A74158">
    <w:pPr>
      <w:pStyle w:val="Footer"/>
      <w:rPr>
        <w:b/>
        <w:sz w:val="18"/>
        <w:szCs w:val="18"/>
      </w:rPr>
    </w:pPr>
    <w:r w:rsidRPr="00A74158">
      <w:rPr>
        <w:b/>
        <w:sz w:val="18"/>
        <w:szCs w:val="18"/>
      </w:rPr>
      <w:t xml:space="preserve">For further resources and training on community radio governance visit </w:t>
    </w:r>
    <w:hyperlink r:id="rId1" w:history="1">
      <w:r w:rsidRPr="00A74158">
        <w:rPr>
          <w:rStyle w:val="Hyperlink"/>
          <w:b/>
          <w:color w:val="auto"/>
          <w:sz w:val="18"/>
          <w:szCs w:val="18"/>
        </w:rPr>
        <w:t>www.cmto.org.au</w:t>
      </w:r>
    </w:hyperlink>
    <w:r w:rsidRPr="00A74158">
      <w:rPr>
        <w:b/>
        <w:sz w:val="18"/>
        <w:szCs w:val="18"/>
      </w:rPr>
      <w:t xml:space="preserve"> or email info@cmto.org.au</w:t>
    </w:r>
  </w:p>
  <w:p w:rsidR="00A74158" w:rsidRDefault="00A74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9E1" w:rsidRDefault="00D239E1" w:rsidP="00A74158">
      <w:pPr>
        <w:spacing w:after="0" w:line="240" w:lineRule="auto"/>
      </w:pPr>
      <w:r>
        <w:separator/>
      </w:r>
    </w:p>
  </w:footnote>
  <w:footnote w:type="continuationSeparator" w:id="0">
    <w:p w:rsidR="00D239E1" w:rsidRDefault="00D239E1" w:rsidP="00A74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158" w:rsidRDefault="00A74158" w:rsidP="00A74158">
    <w:pPr>
      <w:pStyle w:val="Header"/>
      <w:jc w:val="right"/>
    </w:pPr>
    <w:r>
      <w:rPr>
        <w:noProof/>
        <w:lang w:eastAsia="en-AU"/>
      </w:rPr>
      <w:drawing>
        <wp:inline distT="0" distB="0" distL="0" distR="0">
          <wp:extent cx="1808720" cy="457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TO-logo-CMYK.png"/>
                  <pic:cNvPicPr/>
                </pic:nvPicPr>
                <pic:blipFill>
                  <a:blip r:embed="rId1">
                    <a:extLst>
                      <a:ext uri="{28A0092B-C50C-407E-A947-70E740481C1C}">
                        <a14:useLocalDpi xmlns:a14="http://schemas.microsoft.com/office/drawing/2010/main" val="0"/>
                      </a:ext>
                    </a:extLst>
                  </a:blip>
                  <a:stretch>
                    <a:fillRect/>
                  </a:stretch>
                </pic:blipFill>
                <pic:spPr>
                  <a:xfrm>
                    <a:off x="0" y="0"/>
                    <a:ext cx="1904909" cy="481514"/>
                  </a:xfrm>
                  <a:prstGeom prst="rect">
                    <a:avLst/>
                  </a:prstGeom>
                </pic:spPr>
              </pic:pic>
            </a:graphicData>
          </a:graphic>
        </wp:inline>
      </w:drawing>
    </w:r>
  </w:p>
  <w:p w:rsidR="00A74158" w:rsidRDefault="00A74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6B00"/>
    <w:multiLevelType w:val="hybridMultilevel"/>
    <w:tmpl w:val="538ED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4955BF"/>
    <w:multiLevelType w:val="hybridMultilevel"/>
    <w:tmpl w:val="6E10B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575B57"/>
    <w:multiLevelType w:val="hybridMultilevel"/>
    <w:tmpl w:val="DFCAD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854721"/>
    <w:multiLevelType w:val="hybridMultilevel"/>
    <w:tmpl w:val="21DAE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C86E8A"/>
    <w:multiLevelType w:val="hybridMultilevel"/>
    <w:tmpl w:val="F2D44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4137CD"/>
    <w:multiLevelType w:val="hybridMultilevel"/>
    <w:tmpl w:val="EEC83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C03EFF"/>
    <w:multiLevelType w:val="hybridMultilevel"/>
    <w:tmpl w:val="DAC07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610595"/>
    <w:multiLevelType w:val="hybridMultilevel"/>
    <w:tmpl w:val="93D87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BF2086"/>
    <w:multiLevelType w:val="hybridMultilevel"/>
    <w:tmpl w:val="DBAE4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E54635"/>
    <w:multiLevelType w:val="hybridMultilevel"/>
    <w:tmpl w:val="412EE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0E23AB"/>
    <w:multiLevelType w:val="hybridMultilevel"/>
    <w:tmpl w:val="3370B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EC230C"/>
    <w:multiLevelType w:val="hybridMultilevel"/>
    <w:tmpl w:val="93BE6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3C2D39"/>
    <w:multiLevelType w:val="hybridMultilevel"/>
    <w:tmpl w:val="293EA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E26A68"/>
    <w:multiLevelType w:val="hybridMultilevel"/>
    <w:tmpl w:val="EF2E4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DA3786"/>
    <w:multiLevelType w:val="hybridMultilevel"/>
    <w:tmpl w:val="94A63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18760B"/>
    <w:multiLevelType w:val="hybridMultilevel"/>
    <w:tmpl w:val="A978F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59036B"/>
    <w:multiLevelType w:val="hybridMultilevel"/>
    <w:tmpl w:val="C43CB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B53A83"/>
    <w:multiLevelType w:val="hybridMultilevel"/>
    <w:tmpl w:val="C106A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D9007B"/>
    <w:multiLevelType w:val="hybridMultilevel"/>
    <w:tmpl w:val="5D922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C84F66"/>
    <w:multiLevelType w:val="hybridMultilevel"/>
    <w:tmpl w:val="81AC4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583877"/>
    <w:multiLevelType w:val="hybridMultilevel"/>
    <w:tmpl w:val="E4B8E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5"/>
  </w:num>
  <w:num w:numId="5">
    <w:abstractNumId w:val="4"/>
  </w:num>
  <w:num w:numId="6">
    <w:abstractNumId w:val="6"/>
  </w:num>
  <w:num w:numId="7">
    <w:abstractNumId w:val="15"/>
  </w:num>
  <w:num w:numId="8">
    <w:abstractNumId w:val="16"/>
  </w:num>
  <w:num w:numId="9">
    <w:abstractNumId w:val="18"/>
  </w:num>
  <w:num w:numId="10">
    <w:abstractNumId w:val="0"/>
  </w:num>
  <w:num w:numId="11">
    <w:abstractNumId w:val="3"/>
  </w:num>
  <w:num w:numId="12">
    <w:abstractNumId w:val="1"/>
  </w:num>
  <w:num w:numId="13">
    <w:abstractNumId w:val="19"/>
  </w:num>
  <w:num w:numId="14">
    <w:abstractNumId w:val="20"/>
  </w:num>
  <w:num w:numId="15">
    <w:abstractNumId w:val="2"/>
  </w:num>
  <w:num w:numId="16">
    <w:abstractNumId w:val="7"/>
  </w:num>
  <w:num w:numId="17">
    <w:abstractNumId w:val="12"/>
  </w:num>
  <w:num w:numId="18">
    <w:abstractNumId w:val="10"/>
  </w:num>
  <w:num w:numId="19">
    <w:abstractNumId w:val="17"/>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58"/>
    <w:rsid w:val="001A6806"/>
    <w:rsid w:val="002B111A"/>
    <w:rsid w:val="002D7E44"/>
    <w:rsid w:val="002F676E"/>
    <w:rsid w:val="003E0AED"/>
    <w:rsid w:val="00424DCC"/>
    <w:rsid w:val="00444333"/>
    <w:rsid w:val="004A72B6"/>
    <w:rsid w:val="00557F72"/>
    <w:rsid w:val="006757E4"/>
    <w:rsid w:val="006D7DA6"/>
    <w:rsid w:val="00716BA9"/>
    <w:rsid w:val="00851AE5"/>
    <w:rsid w:val="00A64B24"/>
    <w:rsid w:val="00A74158"/>
    <w:rsid w:val="00A94F13"/>
    <w:rsid w:val="00AD766B"/>
    <w:rsid w:val="00B02BCA"/>
    <w:rsid w:val="00BD756E"/>
    <w:rsid w:val="00BE11CF"/>
    <w:rsid w:val="00C01F54"/>
    <w:rsid w:val="00C67FAE"/>
    <w:rsid w:val="00C86039"/>
    <w:rsid w:val="00D239E1"/>
    <w:rsid w:val="00D24E8B"/>
    <w:rsid w:val="00EF2C30"/>
    <w:rsid w:val="00EF2C92"/>
    <w:rsid w:val="00F419C7"/>
    <w:rsid w:val="00F754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59362"/>
  <w15:chartTrackingRefBased/>
  <w15:docId w15:val="{BE462CAC-4E94-45F2-B870-6ADC729E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158"/>
  </w:style>
  <w:style w:type="paragraph" w:styleId="Heading1">
    <w:name w:val="heading 1"/>
    <w:basedOn w:val="Normal"/>
    <w:next w:val="Normal"/>
    <w:link w:val="Heading1Char"/>
    <w:uiPriority w:val="9"/>
    <w:qFormat/>
    <w:rsid w:val="00A7415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7415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A7415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7415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7415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7415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7415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415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A741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158"/>
  </w:style>
  <w:style w:type="paragraph" w:styleId="Footer">
    <w:name w:val="footer"/>
    <w:basedOn w:val="Normal"/>
    <w:link w:val="FooterChar"/>
    <w:uiPriority w:val="99"/>
    <w:unhideWhenUsed/>
    <w:rsid w:val="00A7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158"/>
  </w:style>
  <w:style w:type="character" w:styleId="Hyperlink">
    <w:name w:val="Hyperlink"/>
    <w:basedOn w:val="DefaultParagraphFont"/>
    <w:uiPriority w:val="99"/>
    <w:unhideWhenUsed/>
    <w:rsid w:val="00A74158"/>
    <w:rPr>
      <w:color w:val="0563C1" w:themeColor="hyperlink"/>
      <w:u w:val="single"/>
    </w:rPr>
  </w:style>
  <w:style w:type="character" w:customStyle="1" w:styleId="UnresolvedMention1">
    <w:name w:val="Unresolved Mention1"/>
    <w:basedOn w:val="DefaultParagraphFont"/>
    <w:uiPriority w:val="99"/>
    <w:semiHidden/>
    <w:unhideWhenUsed/>
    <w:rsid w:val="00A74158"/>
    <w:rPr>
      <w:color w:val="808080"/>
      <w:shd w:val="clear" w:color="auto" w:fill="E6E6E6"/>
    </w:rPr>
  </w:style>
  <w:style w:type="character" w:styleId="PlaceholderText">
    <w:name w:val="Placeholder Text"/>
    <w:basedOn w:val="DefaultParagraphFont"/>
    <w:uiPriority w:val="99"/>
    <w:semiHidden/>
    <w:rsid w:val="00A74158"/>
    <w:rPr>
      <w:color w:val="808080"/>
    </w:rPr>
  </w:style>
  <w:style w:type="character" w:customStyle="1" w:styleId="Heading1Char">
    <w:name w:val="Heading 1 Char"/>
    <w:basedOn w:val="DefaultParagraphFont"/>
    <w:link w:val="Heading1"/>
    <w:uiPriority w:val="9"/>
    <w:rsid w:val="00A7415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A7415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A7415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A7415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A7415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7415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A741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415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A7415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74158"/>
    <w:pPr>
      <w:spacing w:line="240" w:lineRule="auto"/>
    </w:pPr>
    <w:rPr>
      <w:b/>
      <w:bCs/>
      <w:color w:val="4472C4" w:themeColor="accent1"/>
      <w:sz w:val="18"/>
      <w:szCs w:val="18"/>
    </w:rPr>
  </w:style>
  <w:style w:type="paragraph" w:styleId="Title">
    <w:name w:val="Title"/>
    <w:basedOn w:val="Normal"/>
    <w:next w:val="Normal"/>
    <w:link w:val="TitleChar"/>
    <w:uiPriority w:val="10"/>
    <w:qFormat/>
    <w:rsid w:val="00A7415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A74158"/>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A7415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74158"/>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A74158"/>
    <w:rPr>
      <w:b/>
      <w:bCs/>
    </w:rPr>
  </w:style>
  <w:style w:type="character" w:styleId="Emphasis">
    <w:name w:val="Emphasis"/>
    <w:basedOn w:val="DefaultParagraphFont"/>
    <w:uiPriority w:val="20"/>
    <w:qFormat/>
    <w:rsid w:val="00A74158"/>
    <w:rPr>
      <w:i/>
      <w:iCs/>
    </w:rPr>
  </w:style>
  <w:style w:type="paragraph" w:styleId="NoSpacing">
    <w:name w:val="No Spacing"/>
    <w:uiPriority w:val="1"/>
    <w:qFormat/>
    <w:rsid w:val="00A74158"/>
    <w:pPr>
      <w:spacing w:after="0" w:line="240" w:lineRule="auto"/>
    </w:pPr>
  </w:style>
  <w:style w:type="paragraph" w:styleId="Quote">
    <w:name w:val="Quote"/>
    <w:basedOn w:val="Normal"/>
    <w:next w:val="Normal"/>
    <w:link w:val="QuoteChar"/>
    <w:uiPriority w:val="29"/>
    <w:qFormat/>
    <w:rsid w:val="00A74158"/>
    <w:rPr>
      <w:i/>
      <w:iCs/>
      <w:color w:val="000000" w:themeColor="text1"/>
    </w:rPr>
  </w:style>
  <w:style w:type="character" w:customStyle="1" w:styleId="QuoteChar">
    <w:name w:val="Quote Char"/>
    <w:basedOn w:val="DefaultParagraphFont"/>
    <w:link w:val="Quote"/>
    <w:uiPriority w:val="29"/>
    <w:rsid w:val="00A74158"/>
    <w:rPr>
      <w:i/>
      <w:iCs/>
      <w:color w:val="000000" w:themeColor="text1"/>
    </w:rPr>
  </w:style>
  <w:style w:type="paragraph" w:styleId="IntenseQuote">
    <w:name w:val="Intense Quote"/>
    <w:basedOn w:val="Normal"/>
    <w:next w:val="Normal"/>
    <w:link w:val="IntenseQuoteChar"/>
    <w:uiPriority w:val="30"/>
    <w:qFormat/>
    <w:rsid w:val="00A7415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A74158"/>
    <w:rPr>
      <w:b/>
      <w:bCs/>
      <w:i/>
      <w:iCs/>
      <w:color w:val="4472C4" w:themeColor="accent1"/>
    </w:rPr>
  </w:style>
  <w:style w:type="character" w:styleId="SubtleEmphasis">
    <w:name w:val="Subtle Emphasis"/>
    <w:basedOn w:val="DefaultParagraphFont"/>
    <w:uiPriority w:val="19"/>
    <w:qFormat/>
    <w:rsid w:val="00A74158"/>
    <w:rPr>
      <w:i/>
      <w:iCs/>
      <w:color w:val="808080" w:themeColor="text1" w:themeTint="7F"/>
    </w:rPr>
  </w:style>
  <w:style w:type="character" w:styleId="IntenseEmphasis">
    <w:name w:val="Intense Emphasis"/>
    <w:basedOn w:val="DefaultParagraphFont"/>
    <w:uiPriority w:val="21"/>
    <w:qFormat/>
    <w:rsid w:val="00A74158"/>
    <w:rPr>
      <w:b/>
      <w:bCs/>
      <w:i/>
      <w:iCs/>
      <w:color w:val="4472C4" w:themeColor="accent1"/>
    </w:rPr>
  </w:style>
  <w:style w:type="character" w:styleId="SubtleReference">
    <w:name w:val="Subtle Reference"/>
    <w:basedOn w:val="DefaultParagraphFont"/>
    <w:uiPriority w:val="31"/>
    <w:qFormat/>
    <w:rsid w:val="00A74158"/>
    <w:rPr>
      <w:smallCaps/>
      <w:color w:val="ED7D31" w:themeColor="accent2"/>
      <w:u w:val="single"/>
    </w:rPr>
  </w:style>
  <w:style w:type="character" w:styleId="IntenseReference">
    <w:name w:val="Intense Reference"/>
    <w:basedOn w:val="DefaultParagraphFont"/>
    <w:uiPriority w:val="32"/>
    <w:qFormat/>
    <w:rsid w:val="00A74158"/>
    <w:rPr>
      <w:b/>
      <w:bCs/>
      <w:smallCaps/>
      <w:color w:val="ED7D31" w:themeColor="accent2"/>
      <w:spacing w:val="5"/>
      <w:u w:val="single"/>
    </w:rPr>
  </w:style>
  <w:style w:type="character" w:styleId="BookTitle">
    <w:name w:val="Book Title"/>
    <w:basedOn w:val="DefaultParagraphFont"/>
    <w:uiPriority w:val="33"/>
    <w:qFormat/>
    <w:rsid w:val="00A74158"/>
    <w:rPr>
      <w:b/>
      <w:bCs/>
      <w:smallCaps/>
      <w:spacing w:val="5"/>
    </w:rPr>
  </w:style>
  <w:style w:type="paragraph" w:styleId="TOCHeading">
    <w:name w:val="TOC Heading"/>
    <w:basedOn w:val="Heading1"/>
    <w:next w:val="Normal"/>
    <w:uiPriority w:val="39"/>
    <w:semiHidden/>
    <w:unhideWhenUsed/>
    <w:qFormat/>
    <w:rsid w:val="00A74158"/>
    <w:pPr>
      <w:outlineLvl w:val="9"/>
    </w:pPr>
  </w:style>
  <w:style w:type="paragraph" w:customStyle="1" w:styleId="Default">
    <w:name w:val="Default"/>
    <w:rsid w:val="002F67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F6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mto.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5A5D4-DD6D-469B-A1C7-605170FE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 computer;CMTO</dc:creator>
  <cp:keywords/>
  <dc:description/>
  <cp:lastModifiedBy>training computer</cp:lastModifiedBy>
  <cp:revision>4</cp:revision>
  <dcterms:created xsi:type="dcterms:W3CDTF">2017-09-11T04:10:00Z</dcterms:created>
  <dcterms:modified xsi:type="dcterms:W3CDTF">2017-09-11T06:06:00Z</dcterms:modified>
</cp:coreProperties>
</file>