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2F676E" w:rsidP="006757E4">
      <w:pPr>
        <w:rPr>
          <w:b/>
          <w:sz w:val="32"/>
          <w:szCs w:val="32"/>
        </w:rPr>
      </w:pPr>
      <w:r>
        <w:rPr>
          <w:b/>
          <w:sz w:val="32"/>
          <w:szCs w:val="32"/>
        </w:rPr>
        <w:t>Risk Management</w:t>
      </w:r>
      <w:r w:rsidR="00B85964">
        <w:rPr>
          <w:b/>
          <w:sz w:val="32"/>
          <w:szCs w:val="32"/>
        </w:rPr>
        <w:t xml:space="preserve">- Monitoring </w:t>
      </w:r>
    </w:p>
    <w:p w:rsidR="00716BA9" w:rsidRDefault="00716BA9" w:rsidP="00716BA9">
      <w:pPr>
        <w:pBdr>
          <w:bottom w:val="single" w:sz="12" w:space="1" w:color="auto"/>
        </w:pBdr>
        <w:rPr>
          <w:b/>
        </w:rPr>
      </w:pPr>
      <w:r w:rsidRPr="00716BA9">
        <w:rPr>
          <w:b/>
        </w:rPr>
        <w:t>Contingency planning</w:t>
      </w:r>
    </w:p>
    <w:p w:rsidR="00716BA9" w:rsidRDefault="00716BA9" w:rsidP="00716BA9">
      <w:r>
        <w:t>Setting a budget also means dealing with unpredictability. Not everything goes to plan, so an important step in the budgeting process is to plan for contingencies.</w:t>
      </w:r>
    </w:p>
    <w:p w:rsidR="00716BA9" w:rsidRDefault="00716BA9" w:rsidP="00716BA9">
      <w:r>
        <w:t>One way of dealing with this is to incl</w:t>
      </w:r>
      <w:bookmarkStart w:id="0" w:name="_GoBack"/>
      <w:bookmarkEnd w:id="0"/>
      <w:r>
        <w:t>ude a line item in the expenses section of the budget called ‘Contingencies’. If you do this, don’t make the figure too large, otherwise you will be tempted to record unexpected expenditure on other line items under ‘contingencies’. If you’ve underestimated expenditure on maintenance, for example, show it in your financial records as maintenance costs rather than hiding it in ‘contingencies’. If you’re up front about an overrun in maintenance costs, it’s there as a reminder when you’re preparing next year’s budget. It is preferable to think through which line items in the budget might be affected if things don’t go according to plan and then increase or decrease expenditure in those line items.</w:t>
      </w:r>
    </w:p>
    <w:p w:rsidR="00716BA9" w:rsidRDefault="00716BA9" w:rsidP="00716BA9">
      <w:r>
        <w:t>Similarly, you need to look at income in the same way. For example, if a grant you’re expecting doesn’t eventuate, what impact will that have on the overall budget? If you’ve created a separate budget for the project’s income and expenditure it will have less impact because your overall operating budget isn’t affected. However, if you’ve allocated 15% of the project funds as income to help cover overall administrative costs at the station, you need a Plan B to accommodate the possibility of the grant not being received and Plan B is likely to involve cutting expenditure somewhere else.</w:t>
      </w:r>
    </w:p>
    <w:p w:rsidR="00716BA9" w:rsidRDefault="00716BA9" w:rsidP="00716BA9">
      <w:r>
        <w:t>In summary, the safest course of action with regard to budgeting is to:</w:t>
      </w:r>
    </w:p>
    <w:p w:rsidR="00716BA9" w:rsidRDefault="00716BA9" w:rsidP="00716BA9">
      <w:r>
        <w:t>Use a combination of incremental and zero-based approaches to budgeting (see notes for previous topic).</w:t>
      </w:r>
    </w:p>
    <w:p w:rsidR="00716BA9" w:rsidRDefault="00716BA9" w:rsidP="00716BA9">
      <w:r>
        <w:t>Do separate budgets for core operations and external grant projects (not doing this has been the downfall of many organisations).</w:t>
      </w:r>
    </w:p>
    <w:p w:rsidR="00716BA9" w:rsidRDefault="00716BA9" w:rsidP="00716BA9">
      <w:r>
        <w:t>Keep any line item for expenditure on ‘contingencies’ low.</w:t>
      </w:r>
    </w:p>
    <w:p w:rsidR="00716BA9" w:rsidRDefault="00716BA9" w:rsidP="00716BA9">
      <w:r>
        <w:t>Do two budgets - a ‘best case’ and a ‘worst case’ if there are too many unknowns with regard to income. Your Board needs to know as much as possible about potential income and expenditure if they are to make responsible financial decisions. As a manager, you too need to be realistic, since you’re the one who has to oversee the finances on a day-today basis.</w:t>
      </w:r>
    </w:p>
    <w:p w:rsidR="00716BA9" w:rsidRDefault="00716BA9">
      <w:r>
        <w:br w:type="page"/>
      </w:r>
    </w:p>
    <w:p w:rsidR="00716BA9" w:rsidRDefault="00716BA9" w:rsidP="00716BA9">
      <w:pPr>
        <w:pBdr>
          <w:bottom w:val="single" w:sz="12" w:space="1" w:color="auto"/>
        </w:pBdr>
        <w:rPr>
          <w:b/>
        </w:rPr>
      </w:pPr>
      <w:r w:rsidRPr="00716BA9">
        <w:rPr>
          <w:b/>
        </w:rPr>
        <w:lastRenderedPageBreak/>
        <w:t>Monitoring and Managing Your Station’s Finances</w:t>
      </w:r>
    </w:p>
    <w:p w:rsidR="00716BA9" w:rsidRDefault="00716BA9" w:rsidP="00716BA9">
      <w:r>
        <w:t>Once you have developed a budget it should be entered into your accounting software. This makes it possible to create reports which compare the actual expenditure and income against revenue and expenditure in the budget figures. It also lets you see how well you are performing against your income targets.</w:t>
      </w:r>
    </w:p>
    <w:p w:rsidR="00716BA9" w:rsidRDefault="00716BA9" w:rsidP="00716BA9">
      <w:r>
        <w:t>The budget to actual figures should be reviewed on a regular basis each month to track your financial position and as a minimum on a quarterly basis. Regular review means you will be able to see any difficulties arising at an early stage and make adjustments if required.</w:t>
      </w:r>
    </w:p>
    <w:p w:rsidR="00716BA9" w:rsidRDefault="00716BA9" w:rsidP="00716BA9">
      <w:r>
        <w:t>There are several different formats of reports and you should talk with your accountant and auditor who can advise you on the ones you need.</w:t>
      </w:r>
    </w:p>
    <w:p w:rsidR="00716BA9" w:rsidRDefault="00716BA9" w:rsidP="00716BA9">
      <w:r>
        <w:t>Here’s an example:</w:t>
      </w: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05"/>
        <w:gridCol w:w="1413"/>
        <w:gridCol w:w="1413"/>
        <w:gridCol w:w="1413"/>
        <w:gridCol w:w="1413"/>
        <w:gridCol w:w="1421"/>
      </w:tblGrid>
      <w:tr w:rsidR="00716BA9" w:rsidRPr="00716BA9" w:rsidTr="00B85964">
        <w:trPr>
          <w:trHeight w:val="242"/>
        </w:trPr>
        <w:tc>
          <w:tcPr>
            <w:tcW w:w="1620" w:type="dxa"/>
            <w:shd w:val="clear" w:color="auto" w:fill="D9D9D9" w:themeFill="background1" w:themeFillShade="D9"/>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Calibri" w:hAnsi="Calibri" w:cs="Calibri"/>
                <w:color w:val="000000"/>
              </w:rPr>
              <w:t xml:space="preserve">XYZFM </w:t>
            </w:r>
          </w:p>
        </w:tc>
        <w:tc>
          <w:tcPr>
            <w:tcW w:w="1205" w:type="dxa"/>
            <w:shd w:val="clear" w:color="auto" w:fill="D9D9D9" w:themeFill="background1" w:themeFillShade="D9"/>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ahoma" w:hAnsi="Tahoma" w:cs="Tahoma"/>
                <w:color w:val="000000"/>
              </w:rPr>
              <w:t xml:space="preserve">Monthly Actual </w:t>
            </w:r>
          </w:p>
        </w:tc>
        <w:tc>
          <w:tcPr>
            <w:tcW w:w="1413" w:type="dxa"/>
            <w:shd w:val="clear" w:color="auto" w:fill="D9D9D9" w:themeFill="background1" w:themeFillShade="D9"/>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ahoma" w:hAnsi="Tahoma" w:cs="Tahoma"/>
                <w:color w:val="000000"/>
              </w:rPr>
              <w:t xml:space="preserve">Monthly Budget </w:t>
            </w:r>
          </w:p>
        </w:tc>
        <w:tc>
          <w:tcPr>
            <w:tcW w:w="1413" w:type="dxa"/>
            <w:shd w:val="clear" w:color="auto" w:fill="D9D9D9" w:themeFill="background1" w:themeFillShade="D9"/>
          </w:tcPr>
          <w:p w:rsidR="00716BA9" w:rsidRPr="00716BA9" w:rsidRDefault="00716BA9" w:rsidP="00716BA9">
            <w:pPr>
              <w:autoSpaceDE w:val="0"/>
              <w:autoSpaceDN w:val="0"/>
              <w:adjustRightInd w:val="0"/>
              <w:spacing w:after="0" w:line="240" w:lineRule="auto"/>
              <w:rPr>
                <w:rFonts w:ascii="Tahoma" w:hAnsi="Tahoma" w:cs="Tahoma"/>
                <w:color w:val="000000"/>
              </w:rPr>
            </w:pPr>
            <w:r w:rsidRPr="00716BA9">
              <w:rPr>
                <w:rFonts w:ascii="Tahoma" w:hAnsi="Tahoma" w:cs="Tahoma"/>
                <w:color w:val="000000"/>
              </w:rPr>
              <w:t xml:space="preserve">YTD </w:t>
            </w:r>
          </w:p>
          <w:p w:rsidR="00716BA9" w:rsidRPr="00716BA9" w:rsidRDefault="00716BA9" w:rsidP="00716BA9">
            <w:pPr>
              <w:autoSpaceDE w:val="0"/>
              <w:autoSpaceDN w:val="0"/>
              <w:adjustRightInd w:val="0"/>
              <w:spacing w:after="0" w:line="240" w:lineRule="auto"/>
              <w:rPr>
                <w:rFonts w:ascii="Tahoma" w:hAnsi="Tahoma" w:cs="Tahoma"/>
                <w:color w:val="000000"/>
              </w:rPr>
            </w:pPr>
            <w:r w:rsidRPr="00716BA9">
              <w:rPr>
                <w:rFonts w:ascii="Tahoma" w:hAnsi="Tahoma" w:cs="Tahoma"/>
                <w:color w:val="000000"/>
              </w:rPr>
              <w:t xml:space="preserve">Actual </w:t>
            </w:r>
          </w:p>
        </w:tc>
        <w:tc>
          <w:tcPr>
            <w:tcW w:w="1413" w:type="dxa"/>
            <w:shd w:val="clear" w:color="auto" w:fill="D9D9D9" w:themeFill="background1" w:themeFillShade="D9"/>
          </w:tcPr>
          <w:p w:rsidR="00716BA9" w:rsidRPr="00716BA9" w:rsidRDefault="00716BA9" w:rsidP="00716BA9">
            <w:pPr>
              <w:autoSpaceDE w:val="0"/>
              <w:autoSpaceDN w:val="0"/>
              <w:adjustRightInd w:val="0"/>
              <w:spacing w:after="0" w:line="240" w:lineRule="auto"/>
              <w:rPr>
                <w:rFonts w:ascii="Tahoma" w:hAnsi="Tahoma" w:cs="Tahoma"/>
                <w:color w:val="000000"/>
              </w:rPr>
            </w:pPr>
            <w:r w:rsidRPr="00716BA9">
              <w:rPr>
                <w:rFonts w:ascii="Tahoma" w:hAnsi="Tahoma" w:cs="Tahoma"/>
                <w:color w:val="000000"/>
              </w:rPr>
              <w:t xml:space="preserve">YTD </w:t>
            </w:r>
          </w:p>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ahoma" w:hAnsi="Tahoma" w:cs="Tahoma"/>
                <w:color w:val="000000"/>
              </w:rPr>
              <w:t xml:space="preserve">Budget </w:t>
            </w:r>
          </w:p>
        </w:tc>
        <w:tc>
          <w:tcPr>
            <w:tcW w:w="1413" w:type="dxa"/>
            <w:shd w:val="clear" w:color="auto" w:fill="D9D9D9" w:themeFill="background1" w:themeFillShade="D9"/>
          </w:tcPr>
          <w:p w:rsidR="00716BA9" w:rsidRPr="00716BA9" w:rsidRDefault="00716BA9" w:rsidP="00716BA9">
            <w:pPr>
              <w:autoSpaceDE w:val="0"/>
              <w:autoSpaceDN w:val="0"/>
              <w:adjustRightInd w:val="0"/>
              <w:spacing w:after="0" w:line="240" w:lineRule="auto"/>
              <w:rPr>
                <w:rFonts w:ascii="Tahoma" w:hAnsi="Tahoma" w:cs="Tahoma"/>
                <w:color w:val="000000"/>
              </w:rPr>
            </w:pPr>
            <w:r w:rsidRPr="00716BA9">
              <w:rPr>
                <w:rFonts w:ascii="Tahoma" w:hAnsi="Tahoma" w:cs="Tahoma"/>
                <w:color w:val="000000"/>
              </w:rPr>
              <w:t xml:space="preserve">Variance </w:t>
            </w:r>
          </w:p>
        </w:tc>
        <w:tc>
          <w:tcPr>
            <w:tcW w:w="1418" w:type="dxa"/>
            <w:shd w:val="clear" w:color="auto" w:fill="D9D9D9" w:themeFill="background1" w:themeFillShade="D9"/>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ahoma" w:hAnsi="Tahoma" w:cs="Tahoma"/>
                <w:color w:val="000000"/>
              </w:rPr>
              <w:t xml:space="preserve">Annual Budget </w:t>
            </w:r>
          </w:p>
        </w:tc>
      </w:tr>
      <w:tr w:rsidR="00716BA9" w:rsidRPr="00716BA9" w:rsidTr="00B85964">
        <w:trPr>
          <w:trHeight w:val="128"/>
        </w:trPr>
        <w:tc>
          <w:tcPr>
            <w:tcW w:w="9898" w:type="dxa"/>
            <w:gridSpan w:val="7"/>
            <w:shd w:val="clear" w:color="auto" w:fill="B4C6E7" w:themeFill="accent1" w:themeFillTint="66"/>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ahoma" w:hAnsi="Tahoma" w:cs="Tahoma"/>
                <w:color w:val="000000"/>
              </w:rPr>
              <w:t xml:space="preserve">Income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Sponsorship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1,500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7,000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10,500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-3,500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$18,000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Membership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1,500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1,750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-250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$3,000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Donations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66.66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466.66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-116.66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$800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On</w:t>
            </w:r>
            <w:r>
              <w:rPr>
                <w:rFonts w:ascii="Trebuchet MS" w:hAnsi="Trebuchet MS" w:cs="Trebuchet MS"/>
                <w:color w:val="000000"/>
              </w:rPr>
              <w:t xml:space="preserve"> </w:t>
            </w:r>
            <w:r w:rsidRPr="00716BA9">
              <w:rPr>
                <w:rFonts w:ascii="Trebuchet MS" w:hAnsi="Trebuchet MS" w:cs="Trebuchet MS"/>
                <w:color w:val="000000"/>
              </w:rPr>
              <w:t xml:space="preserve">Air Fees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458.33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4,000 </w:t>
            </w:r>
          </w:p>
        </w:tc>
        <w:tc>
          <w:tcPr>
            <w:tcW w:w="1413"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3,208.33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791.67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$5,500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Miscellaneous</w:t>
            </w:r>
            <w:r>
              <w:rPr>
                <w:rFonts w:ascii="Trebuchet MS" w:hAnsi="Trebuchet MS" w:cs="Trebuchet MS"/>
                <w:color w:val="000000"/>
              </w:rPr>
              <w:t xml:space="preserve"> </w:t>
            </w:r>
            <w:r w:rsidRPr="00716BA9">
              <w:rPr>
                <w:rFonts w:ascii="Trebuchet MS" w:hAnsi="Trebuchet MS" w:cs="Trebuchet MS"/>
                <w:color w:val="000000"/>
              </w:rPr>
              <w:t xml:space="preserve">Fees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$700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833.33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6,000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5,833.33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166.67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$10,000 </w:t>
            </w:r>
          </w:p>
        </w:tc>
      </w:tr>
      <w:tr w:rsidR="00716BA9" w:rsidRPr="00716BA9" w:rsidTr="00B85964">
        <w:trPr>
          <w:trHeight w:val="105"/>
        </w:trPr>
        <w:tc>
          <w:tcPr>
            <w:tcW w:w="1620" w:type="dxa"/>
            <w:shd w:val="clear" w:color="auto" w:fill="D9E2F3" w:themeFill="accent1" w:themeFillTint="33"/>
          </w:tcPr>
          <w:p w:rsid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Total</w:t>
            </w:r>
          </w:p>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Income </w:t>
            </w:r>
          </w:p>
        </w:tc>
        <w:tc>
          <w:tcPr>
            <w:tcW w:w="1205" w:type="dxa"/>
            <w:shd w:val="clear" w:color="auto" w:fill="D9E2F3" w:themeFill="accent1" w:themeFillTint="33"/>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$1,800 </w:t>
            </w:r>
          </w:p>
        </w:tc>
        <w:tc>
          <w:tcPr>
            <w:tcW w:w="1413" w:type="dxa"/>
            <w:shd w:val="clear" w:color="auto" w:fill="D9E2F3" w:themeFill="accent1" w:themeFillTint="33"/>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3,108 </w:t>
            </w:r>
          </w:p>
        </w:tc>
        <w:tc>
          <w:tcPr>
            <w:tcW w:w="1413" w:type="dxa"/>
            <w:shd w:val="clear" w:color="auto" w:fill="D9E2F3" w:themeFill="accent1" w:themeFillTint="33"/>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18,850 </w:t>
            </w:r>
          </w:p>
        </w:tc>
        <w:tc>
          <w:tcPr>
            <w:tcW w:w="1413" w:type="dxa"/>
            <w:shd w:val="clear" w:color="auto" w:fill="D9E2F3" w:themeFill="accent1" w:themeFillTint="33"/>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21,758.33 </w:t>
            </w:r>
          </w:p>
        </w:tc>
        <w:tc>
          <w:tcPr>
            <w:tcW w:w="1413" w:type="dxa"/>
            <w:shd w:val="clear" w:color="auto" w:fill="D9E2F3" w:themeFill="accent1" w:themeFillTint="33"/>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-2908.33 </w:t>
            </w:r>
          </w:p>
        </w:tc>
        <w:tc>
          <w:tcPr>
            <w:tcW w:w="1418" w:type="dxa"/>
            <w:shd w:val="clear" w:color="auto" w:fill="D9E2F3" w:themeFill="accent1" w:themeFillTint="33"/>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$37,300 </w:t>
            </w:r>
          </w:p>
        </w:tc>
      </w:tr>
      <w:tr w:rsidR="00716BA9" w:rsidRPr="00716BA9" w:rsidTr="00B85964">
        <w:trPr>
          <w:trHeight w:val="128"/>
        </w:trPr>
        <w:tc>
          <w:tcPr>
            <w:tcW w:w="9898" w:type="dxa"/>
            <w:gridSpan w:val="7"/>
            <w:shd w:val="clear" w:color="auto" w:fill="B4C6E7" w:themeFill="accent1" w:themeFillTint="66"/>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ahoma" w:hAnsi="Tahoma" w:cs="Tahoma"/>
                <w:color w:val="000000"/>
              </w:rPr>
              <w:t xml:space="preserve">Expenses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Accountancy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$275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$2,200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$1,925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-$275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$3,300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Advertising and Promotion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$100 </w:t>
            </w:r>
          </w:p>
        </w:tc>
        <w:tc>
          <w:tcPr>
            <w:tcW w:w="1413"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$41.66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$291.62 </w:t>
            </w:r>
          </w:p>
        </w:tc>
        <w:tc>
          <w:tcPr>
            <w:tcW w:w="1413"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$91.62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$500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Bank Fees and Charges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$16.66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$116.62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-$33.38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CDs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$175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$125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Commissions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$100 </w:t>
            </w:r>
          </w:p>
        </w:tc>
        <w:tc>
          <w:tcPr>
            <w:tcW w:w="1413"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$333.33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$2,200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$2,333.31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$133.31 </w:t>
            </w:r>
          </w:p>
        </w:tc>
        <w:tc>
          <w:tcPr>
            <w:tcW w:w="1418"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$4,000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Depreciation - Other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$167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$166.66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$1,166.62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$1,166.62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$0.00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$2,000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Electricity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$320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$75.00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$600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$525.00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-$75.00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$900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Insurance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$375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$375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$2,625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$2,625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$4,500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Internet Costs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$38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$37.50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$262.50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$262.50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$0.00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$450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Postage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$37.50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$150.00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$262.50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$112.50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$450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Printing and Stationery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$35 </w:t>
            </w:r>
          </w:p>
        </w:tc>
        <w:tc>
          <w:tcPr>
            <w:tcW w:w="1413"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$166.66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$900 </w:t>
            </w:r>
          </w:p>
        </w:tc>
        <w:tc>
          <w:tcPr>
            <w:tcW w:w="1413"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$1,166.62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$266.62 </w:t>
            </w:r>
          </w:p>
        </w:tc>
        <w:tc>
          <w:tcPr>
            <w:tcW w:w="1418" w:type="dxa"/>
          </w:tcPr>
          <w:p w:rsidR="00716BA9" w:rsidRPr="00716BA9" w:rsidRDefault="00716BA9" w:rsidP="00716BA9">
            <w:pPr>
              <w:autoSpaceDE w:val="0"/>
              <w:autoSpaceDN w:val="0"/>
              <w:adjustRightInd w:val="0"/>
              <w:spacing w:after="0" w:line="240" w:lineRule="auto"/>
              <w:rPr>
                <w:rFonts w:ascii="Calibri" w:hAnsi="Calibri" w:cs="Calibri"/>
                <w:color w:val="000000"/>
              </w:rPr>
            </w:pPr>
            <w:r w:rsidRPr="00716BA9">
              <w:rPr>
                <w:rFonts w:ascii="Trebuchet MS" w:hAnsi="Trebuchet MS" w:cs="Trebuchet MS"/>
                <w:color w:val="000000"/>
              </w:rPr>
              <w:t xml:space="preserve">$2,000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Rent on land and Buildings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$1,750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$1,750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$0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$3,000 </w:t>
            </w:r>
          </w:p>
        </w:tc>
      </w:tr>
      <w:tr w:rsidR="00716BA9" w:rsidRPr="00716BA9" w:rsidTr="00B85964">
        <w:trPr>
          <w:trHeight w:val="105"/>
        </w:trPr>
        <w:tc>
          <w:tcPr>
            <w:tcW w:w="1620" w:type="dxa"/>
            <w:shd w:val="clear" w:color="auto" w:fill="F2F2F2" w:themeFill="background1" w:themeFillShade="F2"/>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Repairs</w:t>
            </w:r>
            <w:r>
              <w:rPr>
                <w:rFonts w:ascii="Trebuchet MS" w:hAnsi="Trebuchet MS" w:cs="Trebuchet MS"/>
                <w:color w:val="000000"/>
              </w:rPr>
              <w:t xml:space="preserve"> </w:t>
            </w:r>
            <w:r w:rsidRPr="00716BA9">
              <w:rPr>
                <w:rFonts w:ascii="Trebuchet MS" w:hAnsi="Trebuchet MS" w:cs="Trebuchet MS"/>
                <w:color w:val="000000"/>
              </w:rPr>
              <w:t>and</w:t>
            </w:r>
            <w:r>
              <w:rPr>
                <w:rFonts w:ascii="Trebuchet MS" w:hAnsi="Trebuchet MS" w:cs="Trebuchet MS"/>
                <w:color w:val="000000"/>
              </w:rPr>
              <w:t xml:space="preserve"> </w:t>
            </w:r>
            <w:r w:rsidRPr="00716BA9">
              <w:rPr>
                <w:rFonts w:ascii="Trebuchet MS" w:hAnsi="Trebuchet MS" w:cs="Trebuchet MS"/>
                <w:color w:val="000000"/>
              </w:rPr>
              <w:t xml:space="preserve">Maintenance </w:t>
            </w:r>
          </w:p>
        </w:tc>
        <w:tc>
          <w:tcPr>
            <w:tcW w:w="1205"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$333.33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$600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$2,333.31 </w:t>
            </w:r>
          </w:p>
        </w:tc>
        <w:tc>
          <w:tcPr>
            <w:tcW w:w="1413"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$1,733.31 </w:t>
            </w:r>
          </w:p>
        </w:tc>
        <w:tc>
          <w:tcPr>
            <w:tcW w:w="1418" w:type="dxa"/>
          </w:tcPr>
          <w:p w:rsidR="00716BA9" w:rsidRPr="00716BA9" w:rsidRDefault="00716BA9" w:rsidP="00716BA9">
            <w:pPr>
              <w:autoSpaceDE w:val="0"/>
              <w:autoSpaceDN w:val="0"/>
              <w:adjustRightInd w:val="0"/>
              <w:spacing w:after="0" w:line="240" w:lineRule="auto"/>
              <w:rPr>
                <w:rFonts w:ascii="Trebuchet MS" w:hAnsi="Trebuchet MS" w:cs="Trebuchet MS"/>
                <w:color w:val="000000"/>
              </w:rPr>
            </w:pPr>
            <w:r w:rsidRPr="00716BA9">
              <w:rPr>
                <w:rFonts w:ascii="Trebuchet MS" w:hAnsi="Trebuchet MS" w:cs="Trebuchet MS"/>
                <w:color w:val="000000"/>
              </w:rPr>
              <w:t xml:space="preserve">$4,000 </w:t>
            </w:r>
          </w:p>
        </w:tc>
      </w:tr>
    </w:tbl>
    <w:p w:rsidR="00C86039" w:rsidRPr="00C86039" w:rsidRDefault="00C86039" w:rsidP="00B85964">
      <w:pPr>
        <w:pBdr>
          <w:bottom w:val="single" w:sz="12" w:space="1" w:color="auto"/>
        </w:pBdr>
      </w:pPr>
    </w:p>
    <w:sectPr w:rsidR="00C86039" w:rsidRPr="00C860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B85964">
      <w:rPr>
        <w:b/>
        <w:bCs/>
        <w:noProof/>
      </w:rPr>
      <w:t>2</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B85964">
      <w:rPr>
        <w:b/>
        <w:bCs/>
        <w:noProof/>
      </w:rPr>
      <w:t>2</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00"/>
    <w:multiLevelType w:val="hybridMultilevel"/>
    <w:tmpl w:val="538E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955BF"/>
    <w:multiLevelType w:val="hybridMultilevel"/>
    <w:tmpl w:val="6E10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75B57"/>
    <w:multiLevelType w:val="hybridMultilevel"/>
    <w:tmpl w:val="DFCA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54721"/>
    <w:multiLevelType w:val="hybridMultilevel"/>
    <w:tmpl w:val="21DA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86E8A"/>
    <w:multiLevelType w:val="hybridMultilevel"/>
    <w:tmpl w:val="F2D4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137CD"/>
    <w:multiLevelType w:val="hybridMultilevel"/>
    <w:tmpl w:val="EEC8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EFF"/>
    <w:multiLevelType w:val="hybridMultilevel"/>
    <w:tmpl w:val="DAC07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10595"/>
    <w:multiLevelType w:val="hybridMultilevel"/>
    <w:tmpl w:val="93D8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BF2086"/>
    <w:multiLevelType w:val="hybridMultilevel"/>
    <w:tmpl w:val="DBAE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54635"/>
    <w:multiLevelType w:val="hybridMultilevel"/>
    <w:tmpl w:val="412E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E23AB"/>
    <w:multiLevelType w:val="hybridMultilevel"/>
    <w:tmpl w:val="3370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C230C"/>
    <w:multiLevelType w:val="hybridMultilevel"/>
    <w:tmpl w:val="93BE6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C2D39"/>
    <w:multiLevelType w:val="hybridMultilevel"/>
    <w:tmpl w:val="293E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26A68"/>
    <w:multiLevelType w:val="hybridMultilevel"/>
    <w:tmpl w:val="EF2E4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A3786"/>
    <w:multiLevelType w:val="hybridMultilevel"/>
    <w:tmpl w:val="94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8760B"/>
    <w:multiLevelType w:val="hybridMultilevel"/>
    <w:tmpl w:val="A97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9036B"/>
    <w:multiLevelType w:val="hybridMultilevel"/>
    <w:tmpl w:val="C43C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B53A83"/>
    <w:multiLevelType w:val="hybridMultilevel"/>
    <w:tmpl w:val="C106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9007B"/>
    <w:multiLevelType w:val="hybridMultilevel"/>
    <w:tmpl w:val="5D92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84F66"/>
    <w:multiLevelType w:val="hybridMultilevel"/>
    <w:tmpl w:val="81AC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83877"/>
    <w:multiLevelType w:val="hybridMultilevel"/>
    <w:tmpl w:val="E4B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4"/>
  </w:num>
  <w:num w:numId="6">
    <w:abstractNumId w:val="6"/>
  </w:num>
  <w:num w:numId="7">
    <w:abstractNumId w:val="15"/>
  </w:num>
  <w:num w:numId="8">
    <w:abstractNumId w:val="16"/>
  </w:num>
  <w:num w:numId="9">
    <w:abstractNumId w:val="18"/>
  </w:num>
  <w:num w:numId="10">
    <w:abstractNumId w:val="0"/>
  </w:num>
  <w:num w:numId="11">
    <w:abstractNumId w:val="3"/>
  </w:num>
  <w:num w:numId="12">
    <w:abstractNumId w:val="1"/>
  </w:num>
  <w:num w:numId="13">
    <w:abstractNumId w:val="19"/>
  </w:num>
  <w:num w:numId="14">
    <w:abstractNumId w:val="20"/>
  </w:num>
  <w:num w:numId="15">
    <w:abstractNumId w:val="2"/>
  </w:num>
  <w:num w:numId="16">
    <w:abstractNumId w:val="7"/>
  </w:num>
  <w:num w:numId="17">
    <w:abstractNumId w:val="12"/>
  </w:num>
  <w:num w:numId="18">
    <w:abstractNumId w:val="10"/>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1A6806"/>
    <w:rsid w:val="002B111A"/>
    <w:rsid w:val="002D7E44"/>
    <w:rsid w:val="002F676E"/>
    <w:rsid w:val="003E0AED"/>
    <w:rsid w:val="00424DCC"/>
    <w:rsid w:val="00444333"/>
    <w:rsid w:val="004A72B6"/>
    <w:rsid w:val="00557F72"/>
    <w:rsid w:val="006757E4"/>
    <w:rsid w:val="006D7DA6"/>
    <w:rsid w:val="00716BA9"/>
    <w:rsid w:val="00851AE5"/>
    <w:rsid w:val="00A64B24"/>
    <w:rsid w:val="00A74158"/>
    <w:rsid w:val="00AD766B"/>
    <w:rsid w:val="00B02BCA"/>
    <w:rsid w:val="00B85964"/>
    <w:rsid w:val="00BD756E"/>
    <w:rsid w:val="00BE11CF"/>
    <w:rsid w:val="00C01F54"/>
    <w:rsid w:val="00C86039"/>
    <w:rsid w:val="00D24E8B"/>
    <w:rsid w:val="00EF2C30"/>
    <w:rsid w:val="00EF2C92"/>
    <w:rsid w:val="00F41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68747"/>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customStyle="1" w:styleId="Default">
    <w:name w:val="Default"/>
    <w:rsid w:val="002F6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D191-C590-4553-97E5-1C7185D1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2</cp:revision>
  <dcterms:created xsi:type="dcterms:W3CDTF">2017-09-11T04:06:00Z</dcterms:created>
  <dcterms:modified xsi:type="dcterms:W3CDTF">2017-09-11T04:06:00Z</dcterms:modified>
</cp:coreProperties>
</file>